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10" w:rsidRDefault="007F2D10">
      <w:pPr>
        <w:rPr>
          <w:rFonts w:ascii="Times New Roman" w:hAnsi="Times New Roman" w:cs="Times New Roman"/>
          <w:sz w:val="24"/>
          <w:szCs w:val="24"/>
        </w:rPr>
      </w:pPr>
    </w:p>
    <w:p w:rsidR="00D936E2" w:rsidRDefault="00D936E2" w:rsidP="00B670B0">
      <w:pPr>
        <w:spacing w:line="480" w:lineRule="auto"/>
        <w:jc w:val="center"/>
        <w:rPr>
          <w:rFonts w:ascii="Times New Roman" w:hAnsi="Times New Roman" w:cs="Times New Roman"/>
          <w:b/>
          <w:sz w:val="24"/>
          <w:szCs w:val="24"/>
        </w:rPr>
      </w:pPr>
    </w:p>
    <w:p w:rsidR="00D936E2" w:rsidRDefault="00D936E2" w:rsidP="00B670B0">
      <w:pPr>
        <w:spacing w:line="480" w:lineRule="auto"/>
        <w:jc w:val="center"/>
        <w:rPr>
          <w:rFonts w:ascii="Times New Roman" w:hAnsi="Times New Roman" w:cs="Times New Roman"/>
          <w:b/>
          <w:sz w:val="24"/>
          <w:szCs w:val="24"/>
        </w:rPr>
      </w:pPr>
    </w:p>
    <w:p w:rsidR="00494E49" w:rsidRDefault="00494E49" w:rsidP="00494E49">
      <w:pPr>
        <w:tabs>
          <w:tab w:val="left" w:pos="945"/>
        </w:tabs>
        <w:spacing w:line="480" w:lineRule="auto"/>
        <w:jc w:val="center"/>
        <w:rPr>
          <w:rFonts w:ascii="Times New Roman" w:hAnsi="Times New Roman" w:cs="Times New Roman"/>
          <w:sz w:val="24"/>
          <w:szCs w:val="24"/>
        </w:rPr>
      </w:pPr>
    </w:p>
    <w:p w:rsidR="00494E49" w:rsidRDefault="00494E49" w:rsidP="00494E49">
      <w:pPr>
        <w:tabs>
          <w:tab w:val="left" w:pos="945"/>
        </w:tabs>
        <w:spacing w:line="480" w:lineRule="auto"/>
        <w:jc w:val="center"/>
        <w:rPr>
          <w:rFonts w:ascii="Times New Roman" w:hAnsi="Times New Roman" w:cs="Times New Roman"/>
          <w:sz w:val="24"/>
          <w:szCs w:val="24"/>
        </w:rPr>
      </w:pPr>
    </w:p>
    <w:p w:rsidR="00494E49" w:rsidRDefault="00494E49" w:rsidP="00494E49">
      <w:pPr>
        <w:tabs>
          <w:tab w:val="left" w:pos="945"/>
        </w:tabs>
        <w:spacing w:line="480" w:lineRule="auto"/>
        <w:jc w:val="center"/>
        <w:rPr>
          <w:rFonts w:ascii="Times New Roman" w:hAnsi="Times New Roman" w:cs="Times New Roman"/>
          <w:sz w:val="24"/>
          <w:szCs w:val="24"/>
        </w:rPr>
      </w:pPr>
    </w:p>
    <w:p w:rsidR="00494E49" w:rsidRDefault="00494E49" w:rsidP="00494E49">
      <w:pPr>
        <w:tabs>
          <w:tab w:val="left" w:pos="945"/>
        </w:tabs>
        <w:spacing w:line="480" w:lineRule="auto"/>
        <w:jc w:val="center"/>
        <w:rPr>
          <w:rFonts w:ascii="Times New Roman" w:hAnsi="Times New Roman" w:cs="Times New Roman"/>
          <w:sz w:val="24"/>
          <w:szCs w:val="24"/>
        </w:rPr>
      </w:pPr>
    </w:p>
    <w:p w:rsidR="00494E49" w:rsidRDefault="00494E49" w:rsidP="00494E49">
      <w:pPr>
        <w:tabs>
          <w:tab w:val="left" w:pos="945"/>
        </w:tabs>
        <w:spacing w:line="480" w:lineRule="auto"/>
        <w:jc w:val="center"/>
        <w:rPr>
          <w:rFonts w:ascii="Times New Roman" w:hAnsi="Times New Roman" w:cs="Times New Roman"/>
          <w:sz w:val="24"/>
          <w:szCs w:val="24"/>
        </w:rPr>
      </w:pPr>
    </w:p>
    <w:p w:rsidR="00494E49" w:rsidRDefault="00494E49" w:rsidP="00494E49">
      <w:pPr>
        <w:tabs>
          <w:tab w:val="left" w:pos="945"/>
        </w:tabs>
        <w:spacing w:line="480" w:lineRule="auto"/>
        <w:jc w:val="center"/>
        <w:rPr>
          <w:rFonts w:ascii="Times New Roman" w:hAnsi="Times New Roman" w:cs="Times New Roman"/>
          <w:sz w:val="24"/>
          <w:szCs w:val="24"/>
        </w:rPr>
      </w:pPr>
    </w:p>
    <w:p w:rsidR="00D936E2" w:rsidRPr="00494E49" w:rsidRDefault="00494E49" w:rsidP="00494E49">
      <w:pPr>
        <w:tabs>
          <w:tab w:val="left" w:pos="945"/>
        </w:tabs>
        <w:spacing w:line="480" w:lineRule="auto"/>
        <w:jc w:val="center"/>
        <w:rPr>
          <w:rFonts w:ascii="Times New Roman" w:hAnsi="Times New Roman" w:cs="Times New Roman"/>
          <w:sz w:val="24"/>
          <w:szCs w:val="24"/>
        </w:rPr>
      </w:pPr>
      <w:r w:rsidRPr="00494E49">
        <w:rPr>
          <w:rFonts w:ascii="Times New Roman" w:hAnsi="Times New Roman" w:cs="Times New Roman"/>
          <w:sz w:val="24"/>
          <w:szCs w:val="24"/>
        </w:rPr>
        <w:t>European Neighborhood Policy and Development Lecture</w:t>
      </w:r>
    </w:p>
    <w:p w:rsidR="00D936E2" w:rsidRPr="00494E49" w:rsidRDefault="00494E49" w:rsidP="00494E49">
      <w:pPr>
        <w:tabs>
          <w:tab w:val="left" w:pos="945"/>
        </w:tabs>
        <w:spacing w:line="480" w:lineRule="auto"/>
        <w:jc w:val="center"/>
        <w:rPr>
          <w:rFonts w:ascii="Times New Roman" w:hAnsi="Times New Roman" w:cs="Times New Roman"/>
          <w:sz w:val="24"/>
          <w:szCs w:val="24"/>
        </w:rPr>
      </w:pPr>
      <w:r w:rsidRPr="00494E49">
        <w:rPr>
          <w:rFonts w:ascii="Times New Roman" w:hAnsi="Times New Roman" w:cs="Times New Roman"/>
          <w:sz w:val="24"/>
          <w:szCs w:val="24"/>
        </w:rPr>
        <w:t>Name:</w:t>
      </w:r>
    </w:p>
    <w:p w:rsidR="00D936E2" w:rsidRPr="00494E49" w:rsidRDefault="00494E49" w:rsidP="00494E49">
      <w:pPr>
        <w:tabs>
          <w:tab w:val="left" w:pos="930"/>
        </w:tabs>
        <w:spacing w:line="480" w:lineRule="auto"/>
        <w:jc w:val="center"/>
        <w:rPr>
          <w:rFonts w:ascii="Times New Roman" w:hAnsi="Times New Roman" w:cs="Times New Roman"/>
          <w:sz w:val="24"/>
          <w:szCs w:val="24"/>
        </w:rPr>
      </w:pPr>
      <w:r w:rsidRPr="00494E49">
        <w:rPr>
          <w:rFonts w:ascii="Times New Roman" w:hAnsi="Times New Roman" w:cs="Times New Roman"/>
          <w:sz w:val="24"/>
          <w:szCs w:val="24"/>
        </w:rPr>
        <w:t>Institution Affiliation:</w:t>
      </w:r>
    </w:p>
    <w:p w:rsidR="00D936E2" w:rsidRDefault="00D936E2" w:rsidP="00B670B0">
      <w:pPr>
        <w:spacing w:line="480" w:lineRule="auto"/>
        <w:jc w:val="center"/>
        <w:rPr>
          <w:rFonts w:ascii="Times New Roman" w:hAnsi="Times New Roman" w:cs="Times New Roman"/>
          <w:b/>
          <w:sz w:val="24"/>
          <w:szCs w:val="24"/>
        </w:rPr>
      </w:pPr>
    </w:p>
    <w:p w:rsidR="00D936E2" w:rsidRDefault="00D936E2" w:rsidP="00B670B0">
      <w:pPr>
        <w:spacing w:line="480" w:lineRule="auto"/>
        <w:jc w:val="center"/>
        <w:rPr>
          <w:rFonts w:ascii="Times New Roman" w:hAnsi="Times New Roman" w:cs="Times New Roman"/>
          <w:b/>
          <w:sz w:val="24"/>
          <w:szCs w:val="24"/>
        </w:rPr>
      </w:pPr>
    </w:p>
    <w:p w:rsidR="00D936E2" w:rsidRDefault="00D936E2" w:rsidP="00B670B0">
      <w:pPr>
        <w:spacing w:line="480" w:lineRule="auto"/>
        <w:jc w:val="center"/>
        <w:rPr>
          <w:rFonts w:ascii="Times New Roman" w:hAnsi="Times New Roman" w:cs="Times New Roman"/>
          <w:b/>
          <w:sz w:val="24"/>
          <w:szCs w:val="24"/>
        </w:rPr>
      </w:pPr>
    </w:p>
    <w:p w:rsidR="00D936E2" w:rsidRDefault="00D936E2" w:rsidP="00B670B0">
      <w:pPr>
        <w:spacing w:line="480" w:lineRule="auto"/>
        <w:jc w:val="center"/>
        <w:rPr>
          <w:rFonts w:ascii="Times New Roman" w:hAnsi="Times New Roman" w:cs="Times New Roman"/>
          <w:b/>
          <w:sz w:val="24"/>
          <w:szCs w:val="24"/>
        </w:rPr>
      </w:pPr>
    </w:p>
    <w:p w:rsidR="00D936E2" w:rsidRDefault="00D936E2" w:rsidP="00B670B0">
      <w:pPr>
        <w:spacing w:line="480" w:lineRule="auto"/>
        <w:jc w:val="center"/>
        <w:rPr>
          <w:rFonts w:ascii="Times New Roman" w:hAnsi="Times New Roman" w:cs="Times New Roman"/>
          <w:b/>
          <w:sz w:val="24"/>
          <w:szCs w:val="24"/>
        </w:rPr>
      </w:pPr>
    </w:p>
    <w:p w:rsidR="00D936E2" w:rsidRDefault="00D936E2" w:rsidP="00B670B0">
      <w:pPr>
        <w:spacing w:line="480" w:lineRule="auto"/>
        <w:jc w:val="center"/>
        <w:rPr>
          <w:rFonts w:ascii="Times New Roman" w:hAnsi="Times New Roman" w:cs="Times New Roman"/>
          <w:b/>
          <w:sz w:val="24"/>
          <w:szCs w:val="24"/>
        </w:rPr>
      </w:pPr>
    </w:p>
    <w:p w:rsidR="00B670B0" w:rsidRDefault="00B670B0" w:rsidP="00507DD2">
      <w:pPr>
        <w:spacing w:line="480" w:lineRule="auto"/>
        <w:jc w:val="center"/>
        <w:rPr>
          <w:rFonts w:ascii="Times New Roman" w:hAnsi="Times New Roman" w:cs="Times New Roman"/>
          <w:b/>
          <w:sz w:val="24"/>
          <w:szCs w:val="24"/>
        </w:rPr>
      </w:pPr>
      <w:r w:rsidRPr="00B670B0">
        <w:rPr>
          <w:rFonts w:ascii="Times New Roman" w:hAnsi="Times New Roman" w:cs="Times New Roman"/>
          <w:b/>
          <w:sz w:val="24"/>
          <w:szCs w:val="24"/>
        </w:rPr>
        <w:lastRenderedPageBreak/>
        <w:t>EUROPEAN NEIGHBOURHOOD POLICY AND DEVELOPMENT LECTURE</w:t>
      </w:r>
    </w:p>
    <w:p w:rsidR="00421DF1" w:rsidRPr="00421DF1" w:rsidRDefault="00421DF1" w:rsidP="00421DF1">
      <w:pPr>
        <w:spacing w:line="480" w:lineRule="auto"/>
        <w:rPr>
          <w:rFonts w:ascii="Times New Roman" w:hAnsi="Times New Roman" w:cs="Times New Roman"/>
          <w:sz w:val="24"/>
          <w:szCs w:val="24"/>
        </w:rPr>
      </w:pPr>
      <w:r>
        <w:rPr>
          <w:rFonts w:ascii="Times New Roman" w:hAnsi="Times New Roman" w:cs="Times New Roman"/>
          <w:sz w:val="24"/>
          <w:szCs w:val="24"/>
        </w:rPr>
        <w:tab/>
      </w:r>
      <w:r w:rsidRPr="00421DF1">
        <w:rPr>
          <w:rFonts w:ascii="Times New Roman" w:hAnsi="Times New Roman" w:cs="Times New Roman"/>
          <w:sz w:val="24"/>
          <w:szCs w:val="24"/>
        </w:rPr>
        <w:t>The Association Agreement that occurred between the European Union (EU) and Egypt came to be in 2004, a</w:t>
      </w:r>
      <w:r w:rsidR="00DC62E4">
        <w:rPr>
          <w:rFonts w:ascii="Times New Roman" w:hAnsi="Times New Roman" w:cs="Times New Roman"/>
          <w:sz w:val="24"/>
          <w:szCs w:val="24"/>
        </w:rPr>
        <w:t>nd it creates a trade</w:t>
      </w:r>
      <w:r w:rsidRPr="00421DF1">
        <w:rPr>
          <w:rFonts w:ascii="Times New Roman" w:hAnsi="Times New Roman" w:cs="Times New Roman"/>
          <w:sz w:val="24"/>
          <w:szCs w:val="24"/>
        </w:rPr>
        <w:t xml:space="preserve"> environment</w:t>
      </w:r>
      <w:r w:rsidR="00DC62E4">
        <w:rPr>
          <w:rFonts w:ascii="Times New Roman" w:hAnsi="Times New Roman" w:cs="Times New Roman"/>
          <w:sz w:val="24"/>
          <w:szCs w:val="24"/>
        </w:rPr>
        <w:t xml:space="preserve"> that is free</w:t>
      </w:r>
      <w:r w:rsidRPr="00421DF1">
        <w:rPr>
          <w:rFonts w:ascii="Times New Roman" w:hAnsi="Times New Roman" w:cs="Times New Roman"/>
          <w:sz w:val="24"/>
          <w:szCs w:val="24"/>
        </w:rPr>
        <w:t xml:space="preserve"> with th</w:t>
      </w:r>
      <w:r w:rsidR="00DC62E4">
        <w:rPr>
          <w:rFonts w:ascii="Times New Roman" w:hAnsi="Times New Roman" w:cs="Times New Roman"/>
          <w:sz w:val="24"/>
          <w:szCs w:val="24"/>
        </w:rPr>
        <w:t>e removal of tax on commodities</w:t>
      </w:r>
      <w:r w:rsidRPr="00421DF1">
        <w:rPr>
          <w:rFonts w:ascii="Times New Roman" w:hAnsi="Times New Roman" w:cs="Times New Roman"/>
          <w:sz w:val="24"/>
          <w:szCs w:val="24"/>
        </w:rPr>
        <w:t xml:space="preserve"> that are in</w:t>
      </w:r>
      <w:r w:rsidR="00DC62E4">
        <w:rPr>
          <w:rFonts w:ascii="Times New Roman" w:hAnsi="Times New Roman" w:cs="Times New Roman"/>
          <w:sz w:val="24"/>
          <w:szCs w:val="24"/>
        </w:rPr>
        <w:t>dustrial and substantial privileges on commodities that are agricultural</w:t>
      </w:r>
      <w:r w:rsidRPr="00421DF1">
        <w:rPr>
          <w:rFonts w:ascii="Times New Roman" w:hAnsi="Times New Roman" w:cs="Times New Roman"/>
          <w:sz w:val="24"/>
          <w:szCs w:val="24"/>
        </w:rPr>
        <w:t>. Also, on 1st June 2010, an additional agreement entered into force which dealt with agricultural, processed agricultural and fisheries products. Eg</w:t>
      </w:r>
      <w:r w:rsidR="00DC62E4">
        <w:rPr>
          <w:rFonts w:ascii="Times New Roman" w:hAnsi="Times New Roman" w:cs="Times New Roman"/>
          <w:sz w:val="24"/>
          <w:szCs w:val="24"/>
        </w:rPr>
        <w:t>ypt is a crucial partner in trade</w:t>
      </w:r>
      <w:r w:rsidRPr="00421DF1">
        <w:rPr>
          <w:rFonts w:ascii="Times New Roman" w:hAnsi="Times New Roman" w:cs="Times New Roman"/>
          <w:sz w:val="24"/>
          <w:szCs w:val="24"/>
        </w:rPr>
        <w:t xml:space="preserve"> for the European Uni</w:t>
      </w:r>
      <w:r w:rsidR="00DC62E4">
        <w:rPr>
          <w:rFonts w:ascii="Times New Roman" w:hAnsi="Times New Roman" w:cs="Times New Roman"/>
          <w:sz w:val="24"/>
          <w:szCs w:val="24"/>
        </w:rPr>
        <w:t>on in the region of the</w:t>
      </w:r>
      <w:r w:rsidRPr="00421DF1">
        <w:rPr>
          <w:rFonts w:ascii="Times New Roman" w:hAnsi="Times New Roman" w:cs="Times New Roman"/>
          <w:sz w:val="24"/>
          <w:szCs w:val="24"/>
        </w:rPr>
        <w:t xml:space="preserve"> Mediterranean</w:t>
      </w:r>
      <w:r w:rsidR="00DC62E4">
        <w:rPr>
          <w:rFonts w:ascii="Times New Roman" w:hAnsi="Times New Roman" w:cs="Times New Roman"/>
          <w:sz w:val="24"/>
          <w:szCs w:val="24"/>
        </w:rPr>
        <w:t xml:space="preserve"> especially in the Southern part</w:t>
      </w:r>
      <w:r w:rsidRPr="00421DF1">
        <w:rPr>
          <w:rFonts w:ascii="Times New Roman" w:hAnsi="Times New Roman" w:cs="Times New Roman"/>
          <w:sz w:val="24"/>
          <w:szCs w:val="24"/>
        </w:rPr>
        <w:t>. The Agreem</w:t>
      </w:r>
      <w:r w:rsidR="00DC62E4">
        <w:rPr>
          <w:rFonts w:ascii="Times New Roman" w:hAnsi="Times New Roman" w:cs="Times New Roman"/>
          <w:sz w:val="24"/>
          <w:szCs w:val="24"/>
        </w:rPr>
        <w:t>ent with the EU in 2004 improved the conditions of trade</w:t>
      </w:r>
      <w:r w:rsidRPr="00421DF1">
        <w:rPr>
          <w:rFonts w:ascii="Times New Roman" w:hAnsi="Times New Roman" w:cs="Times New Roman"/>
          <w:sz w:val="24"/>
          <w:szCs w:val="24"/>
        </w:rPr>
        <w:t xml:space="preserve"> between Egypt and EU. The bilateral trade between Egypt and EU has more tha</w:t>
      </w:r>
      <w:r w:rsidR="00DC62E4">
        <w:rPr>
          <w:rFonts w:ascii="Times New Roman" w:hAnsi="Times New Roman" w:cs="Times New Roman"/>
          <w:sz w:val="24"/>
          <w:szCs w:val="24"/>
        </w:rPr>
        <w:t>n doubled since 2004. It attained its top level in 2012.</w:t>
      </w:r>
    </w:p>
    <w:p w:rsidR="00421DF1" w:rsidRPr="00421DF1" w:rsidRDefault="00DC62E4" w:rsidP="00421DF1">
      <w:pPr>
        <w:spacing w:line="480" w:lineRule="auto"/>
        <w:ind w:firstLine="720"/>
        <w:rPr>
          <w:rFonts w:ascii="Times New Roman" w:hAnsi="Times New Roman" w:cs="Times New Roman"/>
          <w:sz w:val="24"/>
          <w:szCs w:val="24"/>
        </w:rPr>
      </w:pPr>
      <w:r>
        <w:rPr>
          <w:rFonts w:ascii="Times New Roman" w:hAnsi="Times New Roman" w:cs="Times New Roman"/>
          <w:sz w:val="24"/>
          <w:szCs w:val="24"/>
        </w:rPr>
        <w:t>EU is Egypt’s major partner in trade, which incorporates</w:t>
      </w:r>
      <w:r w:rsidR="00421DF1" w:rsidRPr="00421DF1">
        <w:rPr>
          <w:rFonts w:ascii="Times New Roman" w:hAnsi="Times New Roman" w:cs="Times New Roman"/>
          <w:sz w:val="24"/>
          <w:szCs w:val="24"/>
        </w:rPr>
        <w:t xml:space="preserve"> twenty-three</w:t>
      </w:r>
      <w:r>
        <w:rPr>
          <w:rFonts w:ascii="Times New Roman" w:hAnsi="Times New Roman" w:cs="Times New Roman"/>
          <w:sz w:val="24"/>
          <w:szCs w:val="24"/>
        </w:rPr>
        <w:t xml:space="preserve"> percent of the volume of trade in Egypt</w:t>
      </w:r>
      <w:r w:rsidR="00421DF1" w:rsidRPr="00421DF1">
        <w:rPr>
          <w:rFonts w:ascii="Times New Roman" w:hAnsi="Times New Roman" w:cs="Times New Roman"/>
          <w:sz w:val="24"/>
          <w:szCs w:val="24"/>
        </w:rPr>
        <w:t xml:space="preserve"> in 201</w:t>
      </w:r>
      <w:r>
        <w:rPr>
          <w:rFonts w:ascii="Times New Roman" w:hAnsi="Times New Roman" w:cs="Times New Roman"/>
          <w:sz w:val="24"/>
          <w:szCs w:val="24"/>
        </w:rPr>
        <w:t>3 and positioning both as the country’s export and import associate. The goods that EU buys</w:t>
      </w:r>
      <w:r w:rsidR="00421DF1" w:rsidRPr="00421DF1">
        <w:rPr>
          <w:rFonts w:ascii="Times New Roman" w:hAnsi="Times New Roman" w:cs="Times New Roman"/>
          <w:sz w:val="24"/>
          <w:szCs w:val="24"/>
        </w:rPr>
        <w:t xml:space="preserve"> from Egypt i</w:t>
      </w:r>
      <w:r>
        <w:rPr>
          <w:rFonts w:ascii="Times New Roman" w:hAnsi="Times New Roman" w:cs="Times New Roman"/>
          <w:sz w:val="24"/>
          <w:szCs w:val="24"/>
        </w:rPr>
        <w:t>nclude, mining and fuel commodities</w:t>
      </w:r>
      <w:r w:rsidR="00421DF1" w:rsidRPr="00421DF1">
        <w:rPr>
          <w:rFonts w:ascii="Times New Roman" w:hAnsi="Times New Roman" w:cs="Times New Roman"/>
          <w:sz w:val="24"/>
          <w:szCs w:val="24"/>
        </w:rPr>
        <w:t xml:space="preserve"> (fifty percent), clothing and textiles (eleven percent) and Chemicals (ten percent). EU exports to Egypt is mainly transport and machinery equipment which is about twenty-five percent. EU exports of goods and services to </w:t>
      </w:r>
      <w:r>
        <w:rPr>
          <w:rFonts w:ascii="Times New Roman" w:hAnsi="Times New Roman" w:cs="Times New Roman"/>
          <w:sz w:val="24"/>
          <w:szCs w:val="24"/>
        </w:rPr>
        <w:t>Egypt are domineered by products that deal with enterprises, while the European Union</w:t>
      </w:r>
      <w:r w:rsidR="00421DF1" w:rsidRPr="00421DF1">
        <w:rPr>
          <w:rFonts w:ascii="Times New Roman" w:hAnsi="Times New Roman" w:cs="Times New Roman"/>
          <w:sz w:val="24"/>
          <w:szCs w:val="24"/>
        </w:rPr>
        <w:t xml:space="preserve"> imports from Egypt invol</w:t>
      </w:r>
      <w:r w:rsidR="001436E3">
        <w:rPr>
          <w:rFonts w:ascii="Times New Roman" w:hAnsi="Times New Roman" w:cs="Times New Roman"/>
          <w:sz w:val="24"/>
          <w:szCs w:val="24"/>
        </w:rPr>
        <w:t>ve services that deal with transport and travel</w:t>
      </w:r>
      <w:r w:rsidR="00421DF1" w:rsidRPr="00421DF1">
        <w:rPr>
          <w:rFonts w:ascii="Times New Roman" w:hAnsi="Times New Roman" w:cs="Times New Roman"/>
          <w:sz w:val="24"/>
          <w:szCs w:val="24"/>
        </w:rPr>
        <w:t>.</w:t>
      </w:r>
    </w:p>
    <w:p w:rsidR="00421DF1" w:rsidRPr="00421DF1" w:rsidRDefault="001436E3" w:rsidP="00421DF1">
      <w:pPr>
        <w:spacing w:line="480" w:lineRule="auto"/>
        <w:ind w:firstLine="720"/>
        <w:rPr>
          <w:rFonts w:ascii="Times New Roman" w:hAnsi="Times New Roman" w:cs="Times New Roman"/>
          <w:sz w:val="24"/>
          <w:szCs w:val="24"/>
        </w:rPr>
      </w:pPr>
      <w:r>
        <w:rPr>
          <w:rFonts w:ascii="Times New Roman" w:hAnsi="Times New Roman" w:cs="Times New Roman"/>
          <w:sz w:val="24"/>
          <w:szCs w:val="24"/>
        </w:rPr>
        <w:t>European Union and Egypt started a conversation on the way</w:t>
      </w:r>
      <w:r w:rsidR="00421DF1" w:rsidRPr="00421DF1">
        <w:rPr>
          <w:rFonts w:ascii="Times New Roman" w:hAnsi="Times New Roman" w:cs="Times New Roman"/>
          <w:sz w:val="24"/>
          <w:szCs w:val="24"/>
        </w:rPr>
        <w:t xml:space="preserve"> to increas</w:t>
      </w:r>
      <w:r>
        <w:rPr>
          <w:rFonts w:ascii="Times New Roman" w:hAnsi="Times New Roman" w:cs="Times New Roman"/>
          <w:sz w:val="24"/>
          <w:szCs w:val="24"/>
        </w:rPr>
        <w:t>e investment and relations in trade</w:t>
      </w:r>
      <w:r w:rsidR="00421DF1" w:rsidRPr="00421DF1">
        <w:rPr>
          <w:rFonts w:ascii="Times New Roman" w:hAnsi="Times New Roman" w:cs="Times New Roman"/>
          <w:sz w:val="24"/>
          <w:szCs w:val="24"/>
        </w:rPr>
        <w:t xml:space="preserve">, specifically through the believable dialogue of a </w:t>
      </w:r>
      <w:r>
        <w:rPr>
          <w:rFonts w:ascii="Times New Roman" w:hAnsi="Times New Roman" w:cs="Times New Roman"/>
          <w:sz w:val="24"/>
          <w:szCs w:val="24"/>
        </w:rPr>
        <w:t>“</w:t>
      </w:r>
      <w:r w:rsidR="00421DF1" w:rsidRPr="00421DF1">
        <w:rPr>
          <w:rFonts w:ascii="Times New Roman" w:hAnsi="Times New Roman" w:cs="Times New Roman"/>
          <w:sz w:val="24"/>
          <w:szCs w:val="24"/>
        </w:rPr>
        <w:t>Deep and Comprehensive Free Trade Agreement</w:t>
      </w:r>
      <w:r>
        <w:rPr>
          <w:rFonts w:ascii="Times New Roman" w:hAnsi="Times New Roman" w:cs="Times New Roman"/>
          <w:sz w:val="24"/>
          <w:szCs w:val="24"/>
        </w:rPr>
        <w:t>”</w:t>
      </w:r>
      <w:r w:rsidR="00421DF1" w:rsidRPr="00421DF1">
        <w:rPr>
          <w:rFonts w:ascii="Times New Roman" w:hAnsi="Times New Roman" w:cs="Times New Roman"/>
          <w:sz w:val="24"/>
          <w:szCs w:val="24"/>
        </w:rPr>
        <w:t xml:space="preserve"> (DCFTA) in June 2013. The goal of the DCFTA was to improve access to market opportunities and the investment climate. It was also supposed to aim at supporting reforms that were economic undertaken by Egypt</w:t>
      </w:r>
      <w:sdt>
        <w:sdtPr>
          <w:rPr>
            <w:rFonts w:ascii="Times New Roman" w:hAnsi="Times New Roman" w:cs="Times New Roman"/>
            <w:sz w:val="24"/>
            <w:szCs w:val="24"/>
          </w:rPr>
          <w:id w:val="-400058264"/>
          <w:citation/>
        </w:sdtPr>
        <w:sdtContent>
          <w:r w:rsidR="00896168">
            <w:rPr>
              <w:rFonts w:ascii="Times New Roman" w:hAnsi="Times New Roman" w:cs="Times New Roman"/>
              <w:sz w:val="24"/>
              <w:szCs w:val="24"/>
            </w:rPr>
            <w:fldChar w:fldCharType="begin"/>
          </w:r>
          <w:r w:rsidR="00896168">
            <w:rPr>
              <w:rFonts w:ascii="Times New Roman" w:hAnsi="Times New Roman" w:cs="Times New Roman"/>
              <w:sz w:val="24"/>
              <w:szCs w:val="24"/>
            </w:rPr>
            <w:instrText xml:space="preserve"> CITATION Eur16 \l 1033 </w:instrText>
          </w:r>
          <w:r w:rsidR="00896168">
            <w:rPr>
              <w:rFonts w:ascii="Times New Roman" w:hAnsi="Times New Roman" w:cs="Times New Roman"/>
              <w:sz w:val="24"/>
              <w:szCs w:val="24"/>
            </w:rPr>
            <w:fldChar w:fldCharType="separate"/>
          </w:r>
          <w:r w:rsidR="00896168">
            <w:rPr>
              <w:rFonts w:ascii="Times New Roman" w:hAnsi="Times New Roman" w:cs="Times New Roman"/>
              <w:noProof/>
              <w:sz w:val="24"/>
              <w:szCs w:val="24"/>
            </w:rPr>
            <w:t xml:space="preserve"> </w:t>
          </w:r>
          <w:r w:rsidR="00896168" w:rsidRPr="00896168">
            <w:rPr>
              <w:rFonts w:ascii="Times New Roman" w:hAnsi="Times New Roman" w:cs="Times New Roman"/>
              <w:noProof/>
              <w:sz w:val="24"/>
              <w:szCs w:val="24"/>
            </w:rPr>
            <w:t>(European Commission, 2016)</w:t>
          </w:r>
          <w:r w:rsidR="00896168">
            <w:rPr>
              <w:rFonts w:ascii="Times New Roman" w:hAnsi="Times New Roman" w:cs="Times New Roman"/>
              <w:sz w:val="24"/>
              <w:szCs w:val="24"/>
            </w:rPr>
            <w:fldChar w:fldCharType="end"/>
          </w:r>
        </w:sdtContent>
      </w:sdt>
      <w:r>
        <w:rPr>
          <w:rFonts w:ascii="Times New Roman" w:hAnsi="Times New Roman" w:cs="Times New Roman"/>
          <w:sz w:val="24"/>
          <w:szCs w:val="24"/>
        </w:rPr>
        <w:t>. It will increase considerably away from</w:t>
      </w:r>
      <w:r w:rsidR="00421DF1" w:rsidRPr="00421DF1">
        <w:rPr>
          <w:rFonts w:ascii="Times New Roman" w:hAnsi="Times New Roman" w:cs="Times New Roman"/>
          <w:sz w:val="24"/>
          <w:szCs w:val="24"/>
        </w:rPr>
        <w:t xml:space="preserve"> the capacity of the Association Agreement that is existing to involve </w:t>
      </w:r>
      <w:r>
        <w:rPr>
          <w:rFonts w:ascii="Times New Roman" w:hAnsi="Times New Roman" w:cs="Times New Roman"/>
          <w:sz w:val="24"/>
          <w:szCs w:val="24"/>
        </w:rPr>
        <w:lastRenderedPageBreak/>
        <w:t>trade in products</w:t>
      </w:r>
      <w:r w:rsidR="00421DF1" w:rsidRPr="00421DF1">
        <w:rPr>
          <w:rFonts w:ascii="Times New Roman" w:hAnsi="Times New Roman" w:cs="Times New Roman"/>
          <w:sz w:val="24"/>
          <w:szCs w:val="24"/>
        </w:rPr>
        <w:t>, competi</w:t>
      </w:r>
      <w:r>
        <w:rPr>
          <w:rFonts w:ascii="Times New Roman" w:hAnsi="Times New Roman" w:cs="Times New Roman"/>
          <w:sz w:val="24"/>
          <w:szCs w:val="24"/>
        </w:rPr>
        <w:t>tion, procurement created by the government</w:t>
      </w:r>
      <w:r w:rsidR="00421DF1" w:rsidRPr="00421DF1">
        <w:rPr>
          <w:rFonts w:ascii="Times New Roman" w:hAnsi="Times New Roman" w:cs="Times New Roman"/>
          <w:sz w:val="24"/>
          <w:szCs w:val="24"/>
        </w:rPr>
        <w:t xml:space="preserve">, investment protection </w:t>
      </w:r>
      <w:r>
        <w:rPr>
          <w:rFonts w:ascii="Times New Roman" w:hAnsi="Times New Roman" w:cs="Times New Roman"/>
          <w:sz w:val="24"/>
          <w:szCs w:val="24"/>
        </w:rPr>
        <w:t>and rights that involve intellectual property</w:t>
      </w:r>
      <w:r w:rsidR="00421DF1" w:rsidRPr="00421DF1">
        <w:rPr>
          <w:rFonts w:ascii="Times New Roman" w:hAnsi="Times New Roman" w:cs="Times New Roman"/>
          <w:sz w:val="24"/>
          <w:szCs w:val="24"/>
        </w:rPr>
        <w:t>.</w:t>
      </w:r>
    </w:p>
    <w:p w:rsidR="00421DF1" w:rsidRPr="00421DF1" w:rsidRDefault="00421DF1" w:rsidP="00421DF1">
      <w:pPr>
        <w:spacing w:line="480" w:lineRule="auto"/>
        <w:ind w:firstLine="720"/>
        <w:rPr>
          <w:rFonts w:ascii="Times New Roman" w:hAnsi="Times New Roman" w:cs="Times New Roman"/>
          <w:sz w:val="24"/>
          <w:szCs w:val="24"/>
        </w:rPr>
      </w:pPr>
      <w:r w:rsidRPr="00421DF1">
        <w:rPr>
          <w:rFonts w:ascii="Times New Roman" w:hAnsi="Times New Roman" w:cs="Times New Roman"/>
          <w:sz w:val="24"/>
          <w:szCs w:val="24"/>
        </w:rPr>
        <w:t xml:space="preserve">A </w:t>
      </w:r>
      <w:r w:rsidR="001436E3">
        <w:rPr>
          <w:rFonts w:ascii="Times New Roman" w:hAnsi="Times New Roman" w:cs="Times New Roman"/>
          <w:sz w:val="24"/>
          <w:szCs w:val="24"/>
        </w:rPr>
        <w:t>“</w:t>
      </w:r>
      <w:r w:rsidRPr="00421DF1">
        <w:rPr>
          <w:rFonts w:ascii="Times New Roman" w:hAnsi="Times New Roman" w:cs="Times New Roman"/>
          <w:sz w:val="24"/>
          <w:szCs w:val="24"/>
        </w:rPr>
        <w:t>Sustainability Impact Assessment</w:t>
      </w:r>
      <w:r w:rsidR="001436E3">
        <w:rPr>
          <w:rFonts w:ascii="Times New Roman" w:hAnsi="Times New Roman" w:cs="Times New Roman"/>
          <w:sz w:val="24"/>
          <w:szCs w:val="24"/>
        </w:rPr>
        <w:t>”</w:t>
      </w:r>
      <w:r w:rsidRPr="00421DF1">
        <w:rPr>
          <w:rFonts w:ascii="Times New Roman" w:hAnsi="Times New Roman" w:cs="Times New Roman"/>
          <w:sz w:val="24"/>
          <w:szCs w:val="24"/>
        </w:rPr>
        <w:t xml:space="preserve"> (SIA) in connection to a likely DCFTA with Egypt has</w:t>
      </w:r>
      <w:r w:rsidR="001436E3">
        <w:rPr>
          <w:rFonts w:ascii="Times New Roman" w:hAnsi="Times New Roman" w:cs="Times New Roman"/>
          <w:sz w:val="24"/>
          <w:szCs w:val="24"/>
        </w:rPr>
        <w:t xml:space="preserve"> been undertaken by an entrepreneur</w:t>
      </w:r>
      <w:r w:rsidRPr="00421DF1">
        <w:rPr>
          <w:rFonts w:ascii="Times New Roman" w:hAnsi="Times New Roman" w:cs="Times New Roman"/>
          <w:sz w:val="24"/>
          <w:szCs w:val="24"/>
        </w:rPr>
        <w:t xml:space="preserve"> tha</w:t>
      </w:r>
      <w:r w:rsidR="001436E3">
        <w:rPr>
          <w:rFonts w:ascii="Times New Roman" w:hAnsi="Times New Roman" w:cs="Times New Roman"/>
          <w:sz w:val="24"/>
          <w:szCs w:val="24"/>
        </w:rPr>
        <w:t>t is independent in 2014. By virtue of</w:t>
      </w:r>
      <w:r w:rsidRPr="00421DF1">
        <w:rPr>
          <w:rFonts w:ascii="Times New Roman" w:hAnsi="Times New Roman" w:cs="Times New Roman"/>
          <w:sz w:val="24"/>
          <w:szCs w:val="24"/>
        </w:rPr>
        <w:t xml:space="preserve"> its agreement </w:t>
      </w:r>
      <w:r w:rsidR="001436E3">
        <w:rPr>
          <w:rFonts w:ascii="Times New Roman" w:hAnsi="Times New Roman" w:cs="Times New Roman"/>
          <w:sz w:val="24"/>
          <w:szCs w:val="24"/>
        </w:rPr>
        <w:t>on free commerce</w:t>
      </w:r>
      <w:r w:rsidRPr="00421DF1">
        <w:rPr>
          <w:rFonts w:ascii="Times New Roman" w:hAnsi="Times New Roman" w:cs="Times New Roman"/>
          <w:sz w:val="24"/>
          <w:szCs w:val="24"/>
        </w:rPr>
        <w:t xml:space="preserve"> with the E</w:t>
      </w:r>
      <w:r w:rsidR="001436E3">
        <w:rPr>
          <w:rFonts w:ascii="Times New Roman" w:hAnsi="Times New Roman" w:cs="Times New Roman"/>
          <w:sz w:val="24"/>
          <w:szCs w:val="24"/>
        </w:rPr>
        <w:t>uropean Union and equally, the nation</w:t>
      </w:r>
      <w:r w:rsidRPr="00421DF1">
        <w:rPr>
          <w:rFonts w:ascii="Times New Roman" w:hAnsi="Times New Roman" w:cs="Times New Roman"/>
          <w:sz w:val="24"/>
          <w:szCs w:val="24"/>
        </w:rPr>
        <w:t xml:space="preserve"> refrained from benefiting from p</w:t>
      </w:r>
      <w:r w:rsidR="001436E3">
        <w:rPr>
          <w:rFonts w:ascii="Times New Roman" w:hAnsi="Times New Roman" w:cs="Times New Roman"/>
          <w:sz w:val="24"/>
          <w:szCs w:val="24"/>
        </w:rPr>
        <w:t>referred market access</w:t>
      </w:r>
      <w:r w:rsidRPr="00421DF1">
        <w:rPr>
          <w:rFonts w:ascii="Times New Roman" w:hAnsi="Times New Roman" w:cs="Times New Roman"/>
          <w:sz w:val="24"/>
          <w:szCs w:val="24"/>
        </w:rPr>
        <w:t xml:space="preserve"> involving EU under the </w:t>
      </w:r>
      <w:r w:rsidR="009F5205">
        <w:rPr>
          <w:rFonts w:ascii="Times New Roman" w:hAnsi="Times New Roman" w:cs="Times New Roman"/>
          <w:sz w:val="24"/>
          <w:szCs w:val="24"/>
        </w:rPr>
        <w:t>“</w:t>
      </w:r>
      <w:r w:rsidRPr="00421DF1">
        <w:rPr>
          <w:rFonts w:ascii="Times New Roman" w:hAnsi="Times New Roman" w:cs="Times New Roman"/>
          <w:sz w:val="24"/>
          <w:szCs w:val="24"/>
        </w:rPr>
        <w:t>Generalized System of Preferences</w:t>
      </w:r>
      <w:r w:rsidR="009F5205">
        <w:rPr>
          <w:rFonts w:ascii="Times New Roman" w:hAnsi="Times New Roman" w:cs="Times New Roman"/>
          <w:sz w:val="24"/>
          <w:szCs w:val="24"/>
        </w:rPr>
        <w:t>”</w:t>
      </w:r>
      <w:r w:rsidRPr="00421DF1">
        <w:rPr>
          <w:rFonts w:ascii="Times New Roman" w:hAnsi="Times New Roman" w:cs="Times New Roman"/>
          <w:sz w:val="24"/>
          <w:szCs w:val="24"/>
        </w:rPr>
        <w:t xml:space="preserve"> (GSP) scheme since </w:t>
      </w:r>
      <w:r w:rsidR="009F5205">
        <w:rPr>
          <w:rFonts w:ascii="Times New Roman" w:hAnsi="Times New Roman" w:cs="Times New Roman"/>
          <w:sz w:val="24"/>
          <w:szCs w:val="24"/>
        </w:rPr>
        <w:t>January 2014. Also, Egypt and the EU signed a document constituting a conflict settlement means</w:t>
      </w:r>
      <w:r w:rsidRPr="00421DF1">
        <w:rPr>
          <w:rFonts w:ascii="Times New Roman" w:hAnsi="Times New Roman" w:cs="Times New Roman"/>
          <w:sz w:val="24"/>
          <w:szCs w:val="24"/>
        </w:rPr>
        <w:t xml:space="preserve"> useful t</w:t>
      </w:r>
      <w:r w:rsidR="009F5205">
        <w:rPr>
          <w:rFonts w:ascii="Times New Roman" w:hAnsi="Times New Roman" w:cs="Times New Roman"/>
          <w:sz w:val="24"/>
          <w:szCs w:val="24"/>
        </w:rPr>
        <w:t>o conflicts under the regulations</w:t>
      </w:r>
      <w:r w:rsidRPr="00421DF1">
        <w:rPr>
          <w:rFonts w:ascii="Times New Roman" w:hAnsi="Times New Roman" w:cs="Times New Roman"/>
          <w:sz w:val="24"/>
          <w:szCs w:val="24"/>
        </w:rPr>
        <w:t xml:space="preserve"> of trade of the </w:t>
      </w:r>
      <w:r w:rsidR="009F5205">
        <w:rPr>
          <w:rFonts w:ascii="Times New Roman" w:hAnsi="Times New Roman" w:cs="Times New Roman"/>
          <w:sz w:val="24"/>
          <w:szCs w:val="24"/>
        </w:rPr>
        <w:t>“</w:t>
      </w:r>
      <w:r w:rsidRPr="00421DF1">
        <w:rPr>
          <w:rFonts w:ascii="Times New Roman" w:hAnsi="Times New Roman" w:cs="Times New Roman"/>
          <w:sz w:val="24"/>
          <w:szCs w:val="24"/>
        </w:rPr>
        <w:t>Association Agreement</w:t>
      </w:r>
      <w:r w:rsidR="009F5205">
        <w:rPr>
          <w:rFonts w:ascii="Times New Roman" w:hAnsi="Times New Roman" w:cs="Times New Roman"/>
          <w:sz w:val="24"/>
          <w:szCs w:val="24"/>
        </w:rPr>
        <w:t>”</w:t>
      </w:r>
      <w:r w:rsidRPr="00421DF1">
        <w:rPr>
          <w:rFonts w:ascii="Times New Roman" w:hAnsi="Times New Roman" w:cs="Times New Roman"/>
          <w:sz w:val="24"/>
          <w:szCs w:val="24"/>
        </w:rPr>
        <w:t xml:space="preserve"> in November 2010. </w:t>
      </w:r>
    </w:p>
    <w:p w:rsidR="00421DF1" w:rsidRPr="00421DF1" w:rsidRDefault="009F5205" w:rsidP="00421DF1">
      <w:pPr>
        <w:spacing w:line="480" w:lineRule="auto"/>
        <w:ind w:firstLine="720"/>
        <w:rPr>
          <w:rFonts w:ascii="Times New Roman" w:hAnsi="Times New Roman" w:cs="Times New Roman"/>
          <w:sz w:val="24"/>
          <w:szCs w:val="24"/>
        </w:rPr>
      </w:pPr>
      <w:r>
        <w:rPr>
          <w:rFonts w:ascii="Times New Roman" w:hAnsi="Times New Roman" w:cs="Times New Roman"/>
          <w:sz w:val="24"/>
          <w:szCs w:val="24"/>
        </w:rPr>
        <w:t>Egypt is one of the associates of the Euro-Mediterranean Partnership (</w:t>
      </w:r>
      <w:proofErr w:type="spellStart"/>
      <w:r>
        <w:rPr>
          <w:rFonts w:ascii="Times New Roman" w:hAnsi="Times New Roman" w:cs="Times New Roman"/>
          <w:sz w:val="24"/>
          <w:szCs w:val="24"/>
        </w:rPr>
        <w:t>Euromed</w:t>
      </w:r>
      <w:proofErr w:type="spellEnd"/>
      <w:r>
        <w:rPr>
          <w:rFonts w:ascii="Times New Roman" w:hAnsi="Times New Roman" w:cs="Times New Roman"/>
          <w:sz w:val="24"/>
          <w:szCs w:val="24"/>
        </w:rPr>
        <w:t xml:space="preserve">). </w:t>
      </w:r>
      <w:r w:rsidR="00421DF1" w:rsidRPr="00421DF1">
        <w:rPr>
          <w:rFonts w:ascii="Times New Roman" w:hAnsi="Times New Roman" w:cs="Times New Roman"/>
          <w:sz w:val="24"/>
          <w:szCs w:val="24"/>
        </w:rPr>
        <w:t>The partnership advocates integration in th</w:t>
      </w:r>
      <w:r>
        <w:rPr>
          <w:rFonts w:ascii="Times New Roman" w:hAnsi="Times New Roman" w:cs="Times New Roman"/>
          <w:sz w:val="24"/>
          <w:szCs w:val="24"/>
        </w:rPr>
        <w:t>e economic sector and constitutional reform</w:t>
      </w:r>
      <w:r w:rsidR="00421DF1" w:rsidRPr="00421DF1">
        <w:rPr>
          <w:rFonts w:ascii="Times New Roman" w:hAnsi="Times New Roman" w:cs="Times New Roman"/>
          <w:sz w:val="24"/>
          <w:szCs w:val="24"/>
        </w:rPr>
        <w:t xml:space="preserve"> across sixteen neighbors to the European Union’s South in the Middle East and North Africa. The most important aspect of this work is to gain trading terms that are mutually satisfactory for the partners in the region of </w:t>
      </w:r>
      <w:proofErr w:type="spellStart"/>
      <w:r w:rsidR="00421DF1" w:rsidRPr="00421DF1">
        <w:rPr>
          <w:rFonts w:ascii="Times New Roman" w:hAnsi="Times New Roman" w:cs="Times New Roman"/>
          <w:sz w:val="24"/>
          <w:szCs w:val="24"/>
        </w:rPr>
        <w:t>Euromed</w:t>
      </w:r>
      <w:proofErr w:type="spellEnd"/>
      <w:r w:rsidR="00421DF1" w:rsidRPr="00421DF1">
        <w:rPr>
          <w:rFonts w:ascii="Times New Roman" w:hAnsi="Times New Roman" w:cs="Times New Roman"/>
          <w:sz w:val="24"/>
          <w:szCs w:val="24"/>
        </w:rPr>
        <w:t>. The partnership is also a cr</w:t>
      </w:r>
      <w:r>
        <w:rPr>
          <w:rFonts w:ascii="Times New Roman" w:hAnsi="Times New Roman" w:cs="Times New Roman"/>
          <w:sz w:val="24"/>
          <w:szCs w:val="24"/>
        </w:rPr>
        <w:t>itical part in search of more economic alliance</w:t>
      </w:r>
      <w:r w:rsidR="00421DF1" w:rsidRPr="00421DF1">
        <w:rPr>
          <w:rFonts w:ascii="Times New Roman" w:hAnsi="Times New Roman" w:cs="Times New Roman"/>
          <w:sz w:val="24"/>
          <w:szCs w:val="24"/>
        </w:rPr>
        <w:t xml:space="preserve"> in the area of the Mediterranean. With the policy involving the European Neighborhood, the EU gives its neighbors a relationship that is privileged, based upon a commitment that is mutual</w:t>
      </w:r>
      <w:r>
        <w:rPr>
          <w:rFonts w:ascii="Times New Roman" w:hAnsi="Times New Roman" w:cs="Times New Roman"/>
          <w:sz w:val="24"/>
          <w:szCs w:val="24"/>
        </w:rPr>
        <w:t xml:space="preserve"> to similar values (civil rights and equality, good administration, </w:t>
      </w:r>
      <w:r w:rsidR="00421DF1" w:rsidRPr="00421DF1">
        <w:rPr>
          <w:rFonts w:ascii="Times New Roman" w:hAnsi="Times New Roman" w:cs="Times New Roman"/>
          <w:sz w:val="24"/>
          <w:szCs w:val="24"/>
        </w:rPr>
        <w:t>principles of the market economy and development that are sustainable).</w:t>
      </w:r>
    </w:p>
    <w:p w:rsidR="00421DF1" w:rsidRPr="00421DF1" w:rsidRDefault="00421DF1" w:rsidP="00421DF1">
      <w:pPr>
        <w:spacing w:line="480" w:lineRule="auto"/>
        <w:ind w:firstLine="720"/>
        <w:rPr>
          <w:rFonts w:ascii="Times New Roman" w:hAnsi="Times New Roman" w:cs="Times New Roman"/>
          <w:sz w:val="24"/>
          <w:szCs w:val="24"/>
        </w:rPr>
      </w:pPr>
      <w:r w:rsidRPr="00421DF1">
        <w:rPr>
          <w:rFonts w:ascii="Times New Roman" w:hAnsi="Times New Roman" w:cs="Times New Roman"/>
          <w:sz w:val="24"/>
          <w:szCs w:val="24"/>
        </w:rPr>
        <w:t xml:space="preserve">Since </w:t>
      </w:r>
      <w:r w:rsidR="009F5205">
        <w:rPr>
          <w:rFonts w:ascii="Times New Roman" w:hAnsi="Times New Roman" w:cs="Times New Roman"/>
          <w:sz w:val="24"/>
          <w:szCs w:val="24"/>
        </w:rPr>
        <w:t>discussions on the recent activity</w:t>
      </w:r>
      <w:r w:rsidRPr="00421DF1">
        <w:rPr>
          <w:rFonts w:ascii="Times New Roman" w:hAnsi="Times New Roman" w:cs="Times New Roman"/>
          <w:sz w:val="24"/>
          <w:szCs w:val="24"/>
        </w:rPr>
        <w:t xml:space="preserve"> plan of the European Neighborh</w:t>
      </w:r>
      <w:r w:rsidR="001E758A">
        <w:rPr>
          <w:rFonts w:ascii="Times New Roman" w:hAnsi="Times New Roman" w:cs="Times New Roman"/>
          <w:sz w:val="24"/>
          <w:szCs w:val="24"/>
        </w:rPr>
        <w:t>ood Policy have been halted, the co</w:t>
      </w:r>
      <w:r w:rsidRPr="00421DF1">
        <w:rPr>
          <w:rFonts w:ascii="Times New Roman" w:hAnsi="Times New Roman" w:cs="Times New Roman"/>
          <w:sz w:val="24"/>
          <w:szCs w:val="24"/>
        </w:rPr>
        <w:t>operation program creat</w:t>
      </w:r>
      <w:r w:rsidR="001E758A">
        <w:rPr>
          <w:rFonts w:ascii="Times New Roman" w:hAnsi="Times New Roman" w:cs="Times New Roman"/>
          <w:sz w:val="24"/>
          <w:szCs w:val="24"/>
        </w:rPr>
        <w:t>es by EU for Egypt still pursues the 2007-2013 activity plan</w:t>
      </w:r>
      <w:r w:rsidRPr="00421DF1">
        <w:rPr>
          <w:rFonts w:ascii="Times New Roman" w:hAnsi="Times New Roman" w:cs="Times New Roman"/>
          <w:sz w:val="24"/>
          <w:szCs w:val="24"/>
        </w:rPr>
        <w:t xml:space="preserve"> that has </w:t>
      </w:r>
      <w:r w:rsidR="001E758A">
        <w:rPr>
          <w:rFonts w:ascii="Times New Roman" w:hAnsi="Times New Roman" w:cs="Times New Roman"/>
          <w:sz w:val="24"/>
          <w:szCs w:val="24"/>
        </w:rPr>
        <w:t>been lengthened until 2015</w:t>
      </w:r>
      <w:r w:rsidRPr="00421DF1">
        <w:rPr>
          <w:rFonts w:ascii="Times New Roman" w:hAnsi="Times New Roman" w:cs="Times New Roman"/>
          <w:sz w:val="24"/>
          <w:szCs w:val="24"/>
        </w:rPr>
        <w:t xml:space="preserve">. Negotiations with the goal of reviving the formal dialogue between Egypt and the EU happened in February and December 2014. Both the </w:t>
      </w:r>
      <w:r w:rsidR="001E758A">
        <w:rPr>
          <w:rFonts w:ascii="Times New Roman" w:hAnsi="Times New Roman" w:cs="Times New Roman"/>
          <w:sz w:val="24"/>
          <w:szCs w:val="24"/>
        </w:rPr>
        <w:lastRenderedPageBreak/>
        <w:t>EU and Egypt consented to initiate</w:t>
      </w:r>
      <w:r w:rsidRPr="00421DF1">
        <w:rPr>
          <w:rFonts w:ascii="Times New Roman" w:hAnsi="Times New Roman" w:cs="Times New Roman"/>
          <w:sz w:val="24"/>
          <w:szCs w:val="24"/>
        </w:rPr>
        <w:t xml:space="preserve"> their cooperation within the core of the </w:t>
      </w:r>
      <w:r w:rsidR="001E758A">
        <w:rPr>
          <w:rFonts w:ascii="Times New Roman" w:hAnsi="Times New Roman" w:cs="Times New Roman"/>
          <w:sz w:val="24"/>
          <w:szCs w:val="24"/>
        </w:rPr>
        <w:t>“</w:t>
      </w:r>
      <w:r w:rsidRPr="00421DF1">
        <w:rPr>
          <w:rFonts w:ascii="Times New Roman" w:hAnsi="Times New Roman" w:cs="Times New Roman"/>
          <w:sz w:val="24"/>
          <w:szCs w:val="24"/>
        </w:rPr>
        <w:t>Association Agreement</w:t>
      </w:r>
      <w:r w:rsidR="001E758A">
        <w:rPr>
          <w:rFonts w:ascii="Times New Roman" w:hAnsi="Times New Roman" w:cs="Times New Roman"/>
          <w:sz w:val="24"/>
          <w:szCs w:val="24"/>
        </w:rPr>
        <w:t>” again. Egypt confirmed</w:t>
      </w:r>
      <w:r w:rsidRPr="00421DF1">
        <w:rPr>
          <w:rFonts w:ascii="Times New Roman" w:hAnsi="Times New Roman" w:cs="Times New Roman"/>
          <w:sz w:val="24"/>
          <w:szCs w:val="24"/>
        </w:rPr>
        <w:t xml:space="preserve"> the Agadir Agreement in February 2004, w</w:t>
      </w:r>
      <w:r w:rsidR="001E758A">
        <w:rPr>
          <w:rFonts w:ascii="Times New Roman" w:hAnsi="Times New Roman" w:cs="Times New Roman"/>
          <w:sz w:val="24"/>
          <w:szCs w:val="24"/>
        </w:rPr>
        <w:t>ith Morocco, Tunisia, and Jordan. This agreement dedicated all sides to doing away with taxes on commerce</w:t>
      </w:r>
      <w:r w:rsidRPr="00421DF1">
        <w:rPr>
          <w:rFonts w:ascii="Times New Roman" w:hAnsi="Times New Roman" w:cs="Times New Roman"/>
          <w:sz w:val="24"/>
          <w:szCs w:val="24"/>
        </w:rPr>
        <w:t xml:space="preserve"> between them a</w:t>
      </w:r>
      <w:r w:rsidR="001E758A">
        <w:rPr>
          <w:rFonts w:ascii="Times New Roman" w:hAnsi="Times New Roman" w:cs="Times New Roman"/>
          <w:sz w:val="24"/>
          <w:szCs w:val="24"/>
        </w:rPr>
        <w:t>nd to adapting their regulation about customs and guideline</w:t>
      </w:r>
      <w:r w:rsidRPr="00421DF1">
        <w:rPr>
          <w:rFonts w:ascii="Times New Roman" w:hAnsi="Times New Roman" w:cs="Times New Roman"/>
          <w:sz w:val="24"/>
          <w:szCs w:val="24"/>
        </w:rPr>
        <w:t xml:space="preserve"> procedures. </w:t>
      </w:r>
    </w:p>
    <w:p w:rsidR="00421DF1" w:rsidRPr="00421DF1" w:rsidRDefault="00421DF1" w:rsidP="00421DF1">
      <w:pPr>
        <w:spacing w:line="480" w:lineRule="auto"/>
        <w:ind w:firstLine="720"/>
        <w:rPr>
          <w:rFonts w:ascii="Times New Roman" w:hAnsi="Times New Roman" w:cs="Times New Roman"/>
          <w:sz w:val="24"/>
          <w:szCs w:val="24"/>
        </w:rPr>
      </w:pPr>
      <w:r w:rsidRPr="00421DF1">
        <w:rPr>
          <w:rFonts w:ascii="Times New Roman" w:hAnsi="Times New Roman" w:cs="Times New Roman"/>
          <w:sz w:val="24"/>
          <w:szCs w:val="24"/>
        </w:rPr>
        <w:t xml:space="preserve">The </w:t>
      </w:r>
      <w:r w:rsidR="001E758A">
        <w:rPr>
          <w:rFonts w:ascii="Times New Roman" w:hAnsi="Times New Roman" w:cs="Times New Roman"/>
          <w:sz w:val="24"/>
          <w:szCs w:val="24"/>
        </w:rPr>
        <w:t>Agadir Agreement came into being</w:t>
      </w:r>
      <w:r w:rsidRPr="00421DF1">
        <w:rPr>
          <w:rFonts w:ascii="Times New Roman" w:hAnsi="Times New Roman" w:cs="Times New Roman"/>
          <w:sz w:val="24"/>
          <w:szCs w:val="24"/>
        </w:rPr>
        <w:t xml:space="preserve"> in July 2006, and the Agadir Technical Unit enables the acceptance of the agreement in Amman</w:t>
      </w:r>
      <w:sdt>
        <w:sdtPr>
          <w:rPr>
            <w:rFonts w:ascii="Times New Roman" w:hAnsi="Times New Roman" w:cs="Times New Roman"/>
            <w:sz w:val="24"/>
            <w:szCs w:val="24"/>
          </w:rPr>
          <w:id w:val="303590649"/>
          <w:citation/>
        </w:sdtPr>
        <w:sdtContent>
          <w:r w:rsidR="00896168">
            <w:rPr>
              <w:rFonts w:ascii="Times New Roman" w:hAnsi="Times New Roman" w:cs="Times New Roman"/>
              <w:sz w:val="24"/>
              <w:szCs w:val="24"/>
            </w:rPr>
            <w:fldChar w:fldCharType="begin"/>
          </w:r>
          <w:r w:rsidR="00896168">
            <w:rPr>
              <w:rFonts w:ascii="Times New Roman" w:hAnsi="Times New Roman" w:cs="Times New Roman"/>
              <w:sz w:val="24"/>
              <w:szCs w:val="24"/>
            </w:rPr>
            <w:instrText xml:space="preserve"> CITATION Pan13 \l 1033 </w:instrText>
          </w:r>
          <w:r w:rsidR="00896168">
            <w:rPr>
              <w:rFonts w:ascii="Times New Roman" w:hAnsi="Times New Roman" w:cs="Times New Roman"/>
              <w:sz w:val="24"/>
              <w:szCs w:val="24"/>
            </w:rPr>
            <w:fldChar w:fldCharType="separate"/>
          </w:r>
          <w:r w:rsidR="00896168">
            <w:rPr>
              <w:rFonts w:ascii="Times New Roman" w:hAnsi="Times New Roman" w:cs="Times New Roman"/>
              <w:noProof/>
              <w:sz w:val="24"/>
              <w:szCs w:val="24"/>
            </w:rPr>
            <w:t xml:space="preserve"> </w:t>
          </w:r>
          <w:r w:rsidR="00896168" w:rsidRPr="00896168">
            <w:rPr>
              <w:rFonts w:ascii="Times New Roman" w:hAnsi="Times New Roman" w:cs="Times New Roman"/>
              <w:noProof/>
              <w:sz w:val="24"/>
              <w:szCs w:val="24"/>
            </w:rPr>
            <w:t>(Liargovas, 2013)</w:t>
          </w:r>
          <w:r w:rsidR="00896168">
            <w:rPr>
              <w:rFonts w:ascii="Times New Roman" w:hAnsi="Times New Roman" w:cs="Times New Roman"/>
              <w:sz w:val="24"/>
              <w:szCs w:val="24"/>
            </w:rPr>
            <w:fldChar w:fldCharType="end"/>
          </w:r>
        </w:sdtContent>
      </w:sdt>
      <w:r w:rsidR="001E758A">
        <w:rPr>
          <w:rFonts w:ascii="Times New Roman" w:hAnsi="Times New Roman" w:cs="Times New Roman"/>
          <w:sz w:val="24"/>
          <w:szCs w:val="24"/>
        </w:rPr>
        <w:t>. The treaty</w:t>
      </w:r>
      <w:r w:rsidRPr="00421DF1">
        <w:rPr>
          <w:rFonts w:ascii="Times New Roman" w:hAnsi="Times New Roman" w:cs="Times New Roman"/>
          <w:sz w:val="24"/>
          <w:szCs w:val="24"/>
        </w:rPr>
        <w:t xml:space="preserve"> also foresees the </w:t>
      </w:r>
      <w:r w:rsidR="001E758A">
        <w:rPr>
          <w:rFonts w:ascii="Times New Roman" w:hAnsi="Times New Roman" w:cs="Times New Roman"/>
          <w:sz w:val="24"/>
          <w:szCs w:val="24"/>
        </w:rPr>
        <w:t>“</w:t>
      </w:r>
      <w:r w:rsidRPr="00421DF1">
        <w:rPr>
          <w:rFonts w:ascii="Times New Roman" w:hAnsi="Times New Roman" w:cs="Times New Roman"/>
          <w:sz w:val="24"/>
          <w:szCs w:val="24"/>
        </w:rPr>
        <w:t>pan-Euro-Mediterranean</w:t>
      </w:r>
      <w:r w:rsidR="001E758A">
        <w:rPr>
          <w:rFonts w:ascii="Times New Roman" w:hAnsi="Times New Roman" w:cs="Times New Roman"/>
          <w:sz w:val="24"/>
          <w:szCs w:val="24"/>
        </w:rPr>
        <w:t>”</w:t>
      </w:r>
      <w:r w:rsidRPr="00421DF1">
        <w:rPr>
          <w:rFonts w:ascii="Times New Roman" w:hAnsi="Times New Roman" w:cs="Times New Roman"/>
          <w:sz w:val="24"/>
          <w:szCs w:val="24"/>
        </w:rPr>
        <w:t xml:space="preserve"> accumulation of origin. In 9th October 2013, Egypt signed the </w:t>
      </w:r>
      <w:r w:rsidR="001E758A">
        <w:rPr>
          <w:rFonts w:ascii="Times New Roman" w:hAnsi="Times New Roman" w:cs="Times New Roman"/>
          <w:sz w:val="24"/>
          <w:szCs w:val="24"/>
        </w:rPr>
        <w:t>“</w:t>
      </w:r>
      <w:r w:rsidRPr="00421DF1">
        <w:rPr>
          <w:rFonts w:ascii="Times New Roman" w:hAnsi="Times New Roman" w:cs="Times New Roman"/>
          <w:sz w:val="24"/>
          <w:szCs w:val="24"/>
        </w:rPr>
        <w:t>Regional Convention on pan-Euro-Mediterranean preferential rules of origin</w:t>
      </w:r>
      <w:r w:rsidR="001E758A">
        <w:rPr>
          <w:rFonts w:ascii="Times New Roman" w:hAnsi="Times New Roman" w:cs="Times New Roman"/>
          <w:sz w:val="24"/>
          <w:szCs w:val="24"/>
        </w:rPr>
        <w:t>”</w:t>
      </w:r>
      <w:r w:rsidRPr="00421DF1">
        <w:rPr>
          <w:rFonts w:ascii="Times New Roman" w:hAnsi="Times New Roman" w:cs="Times New Roman"/>
          <w:sz w:val="24"/>
          <w:szCs w:val="24"/>
        </w:rPr>
        <w:t>.</w:t>
      </w:r>
      <w:r w:rsidR="001E758A">
        <w:rPr>
          <w:rFonts w:ascii="Times New Roman" w:hAnsi="Times New Roman" w:cs="Times New Roman"/>
          <w:sz w:val="24"/>
          <w:szCs w:val="24"/>
        </w:rPr>
        <w:t xml:space="preserve"> When adapted, this will take the place of</w:t>
      </w:r>
      <w:r w:rsidRPr="00421DF1">
        <w:rPr>
          <w:rFonts w:ascii="Times New Roman" w:hAnsi="Times New Roman" w:cs="Times New Roman"/>
          <w:sz w:val="24"/>
          <w:szCs w:val="24"/>
        </w:rPr>
        <w:t xml:space="preserve"> the existent network of</w:t>
      </w:r>
      <w:r w:rsidR="00DD488E">
        <w:rPr>
          <w:rFonts w:ascii="Times New Roman" w:hAnsi="Times New Roman" w:cs="Times New Roman"/>
          <w:sz w:val="24"/>
          <w:szCs w:val="24"/>
        </w:rPr>
        <w:t xml:space="preserve"> codes that are bilateral, aid the rewriting of current regulations</w:t>
      </w:r>
      <w:r w:rsidRPr="00421DF1">
        <w:rPr>
          <w:rFonts w:ascii="Times New Roman" w:hAnsi="Times New Roman" w:cs="Times New Roman"/>
          <w:sz w:val="24"/>
          <w:szCs w:val="24"/>
        </w:rPr>
        <w:t xml:space="preserve"> of origin, and hence improve economic integratio</w:t>
      </w:r>
      <w:r w:rsidR="00DD488E">
        <w:rPr>
          <w:rFonts w:ascii="Times New Roman" w:hAnsi="Times New Roman" w:cs="Times New Roman"/>
          <w:sz w:val="24"/>
          <w:szCs w:val="24"/>
        </w:rPr>
        <w:t>n and regional trade. The organization that makes it easier to buy</w:t>
      </w:r>
      <w:r w:rsidRPr="00421DF1">
        <w:rPr>
          <w:rFonts w:ascii="Times New Roman" w:hAnsi="Times New Roman" w:cs="Times New Roman"/>
          <w:sz w:val="24"/>
          <w:szCs w:val="24"/>
        </w:rPr>
        <w:t xml:space="preserve"> goods</w:t>
      </w:r>
      <w:r w:rsidR="00DD488E">
        <w:rPr>
          <w:rFonts w:ascii="Times New Roman" w:hAnsi="Times New Roman" w:cs="Times New Roman"/>
          <w:sz w:val="24"/>
          <w:szCs w:val="24"/>
        </w:rPr>
        <w:t xml:space="preserve"> that are</w:t>
      </w:r>
      <w:r w:rsidRPr="00421DF1">
        <w:rPr>
          <w:rFonts w:ascii="Times New Roman" w:hAnsi="Times New Roman" w:cs="Times New Roman"/>
          <w:sz w:val="24"/>
          <w:szCs w:val="24"/>
        </w:rPr>
        <w:t xml:space="preserve"> manufactured in many countries throughout the basin of the Mediter</w:t>
      </w:r>
      <w:r w:rsidR="00DD488E">
        <w:rPr>
          <w:rFonts w:ascii="Times New Roman" w:hAnsi="Times New Roman" w:cs="Times New Roman"/>
          <w:sz w:val="24"/>
          <w:szCs w:val="24"/>
        </w:rPr>
        <w:t>ranean will bring about recent opportunities for monetary</w:t>
      </w:r>
      <w:r w:rsidRPr="00421DF1">
        <w:rPr>
          <w:rFonts w:ascii="Times New Roman" w:hAnsi="Times New Roman" w:cs="Times New Roman"/>
          <w:sz w:val="24"/>
          <w:szCs w:val="24"/>
        </w:rPr>
        <w:t xml:space="preserve"> operators and be</w:t>
      </w:r>
      <w:r w:rsidR="00DD488E">
        <w:rPr>
          <w:rFonts w:ascii="Times New Roman" w:hAnsi="Times New Roman" w:cs="Times New Roman"/>
          <w:sz w:val="24"/>
          <w:szCs w:val="24"/>
        </w:rPr>
        <w:t xml:space="preserve"> a crucial spur for more territorial economic alliance. Egypt also has free acknowledgement</w:t>
      </w:r>
      <w:r w:rsidRPr="00421DF1">
        <w:rPr>
          <w:rFonts w:ascii="Times New Roman" w:hAnsi="Times New Roman" w:cs="Times New Roman"/>
          <w:sz w:val="24"/>
          <w:szCs w:val="24"/>
        </w:rPr>
        <w:t xml:space="preserve"> on trade with Turkey and EFTA nations.</w:t>
      </w:r>
      <w:bookmarkStart w:id="0" w:name="_GoBack"/>
      <w:bookmarkEnd w:id="0"/>
    </w:p>
    <w:p w:rsidR="00421DF1" w:rsidRPr="00421DF1" w:rsidRDefault="00421DF1" w:rsidP="00421DF1">
      <w:pPr>
        <w:spacing w:line="480" w:lineRule="auto"/>
        <w:ind w:firstLine="720"/>
        <w:rPr>
          <w:rFonts w:ascii="Times New Roman" w:hAnsi="Times New Roman" w:cs="Times New Roman"/>
          <w:sz w:val="24"/>
          <w:szCs w:val="24"/>
        </w:rPr>
      </w:pPr>
      <w:r w:rsidRPr="00421DF1">
        <w:rPr>
          <w:rFonts w:ascii="Times New Roman" w:hAnsi="Times New Roman" w:cs="Times New Roman"/>
          <w:sz w:val="24"/>
          <w:szCs w:val="24"/>
        </w:rPr>
        <w:t xml:space="preserve">Over the years, the foreign policies in Egypt have been connected with strategic geographical factors that were influenced by historical and geographical realities. It has also been characterized by respective stability. Due to geography, Egypt has depended entirely on the water from the River Nile which comes from outside its territory and passes through many countries before reaching the border in the South. According to History, invaders arrived in Egypt through the gate at the north-eastern part and continued their journey in the Palestine direction and the Levant to protect their occupation. The invaders who wanted to occupy the Levant and Palestine always continued their journey in Egypt’s direction to guarantee their </w:t>
      </w:r>
      <w:r w:rsidRPr="00421DF1">
        <w:rPr>
          <w:rFonts w:ascii="Times New Roman" w:hAnsi="Times New Roman" w:cs="Times New Roman"/>
          <w:sz w:val="24"/>
          <w:szCs w:val="24"/>
        </w:rPr>
        <w:lastRenderedPageBreak/>
        <w:t>safety in the East, hence making Palestine, Egypt and the Levant one strategic cluster with a standard linked destiny.</w:t>
      </w:r>
    </w:p>
    <w:p w:rsidR="00421DF1" w:rsidRPr="00421DF1" w:rsidRDefault="00421DF1" w:rsidP="00421DF1">
      <w:pPr>
        <w:spacing w:line="480" w:lineRule="auto"/>
        <w:ind w:firstLine="720"/>
        <w:rPr>
          <w:rFonts w:ascii="Times New Roman" w:hAnsi="Times New Roman" w:cs="Times New Roman"/>
          <w:sz w:val="24"/>
          <w:szCs w:val="24"/>
        </w:rPr>
      </w:pPr>
      <w:r w:rsidRPr="00421DF1">
        <w:rPr>
          <w:rFonts w:ascii="Times New Roman" w:hAnsi="Times New Roman" w:cs="Times New Roman"/>
          <w:sz w:val="24"/>
          <w:szCs w:val="24"/>
        </w:rPr>
        <w:t>The key factors of the foreign policy in Egypt are based on two pillars. The goal of the first pillar is to defend the life and survival of Egypt. It is also in place to ensure the continued flow of river Nile. Hence, it is important for Egypt to closely follow what is going on across its southern border, in the nations of the Nile Basin. The purpose of the second pillar is to defend the independence and security of the nation, and looking for ways to deal with external threats. It</w:t>
      </w:r>
      <w:r w:rsidR="00C576BA">
        <w:rPr>
          <w:rFonts w:ascii="Times New Roman" w:hAnsi="Times New Roman" w:cs="Times New Roman"/>
          <w:sz w:val="24"/>
          <w:szCs w:val="24"/>
        </w:rPr>
        <w:t xml:space="preserve"> conseque</w:t>
      </w:r>
      <w:r w:rsidRPr="00421DF1">
        <w:rPr>
          <w:rFonts w:ascii="Times New Roman" w:hAnsi="Times New Roman" w:cs="Times New Roman"/>
          <w:sz w:val="24"/>
          <w:szCs w:val="24"/>
        </w:rPr>
        <w:t>ntly becomes a requirement for Egypt to follow activities across its eastern border in the Palestine and the Levant. It is natural that the Levant and the region of the Nile Basin from Egypt’s integrated and important connected area from the outlook of its foreign policy. Hence, it is not astonishing that its foreign policy has, over the decades, been defined by a high level of stability and consistency, which has been acutely portrayed through all the stages during which the nation managed to gain its indepe</w:t>
      </w:r>
      <w:r w:rsidR="00C576BA">
        <w:rPr>
          <w:rFonts w:ascii="Times New Roman" w:hAnsi="Times New Roman" w:cs="Times New Roman"/>
          <w:sz w:val="24"/>
          <w:szCs w:val="24"/>
        </w:rPr>
        <w:t>ndence or start on a renaissance</w:t>
      </w:r>
      <w:sdt>
        <w:sdtPr>
          <w:rPr>
            <w:rFonts w:ascii="Times New Roman" w:hAnsi="Times New Roman" w:cs="Times New Roman"/>
            <w:sz w:val="24"/>
            <w:szCs w:val="24"/>
          </w:rPr>
          <w:id w:val="598613421"/>
          <w:citation/>
        </w:sdtPr>
        <w:sdtContent>
          <w:r w:rsidR="00C576BA">
            <w:rPr>
              <w:rFonts w:ascii="Times New Roman" w:hAnsi="Times New Roman" w:cs="Times New Roman"/>
              <w:sz w:val="24"/>
              <w:szCs w:val="24"/>
            </w:rPr>
            <w:fldChar w:fldCharType="begin"/>
          </w:r>
          <w:r w:rsidR="00C576BA">
            <w:rPr>
              <w:rFonts w:ascii="Times New Roman" w:hAnsi="Times New Roman" w:cs="Times New Roman"/>
              <w:sz w:val="24"/>
              <w:szCs w:val="24"/>
            </w:rPr>
            <w:instrText xml:space="preserve">CITATION KDa69 \l 1033 </w:instrText>
          </w:r>
          <w:r w:rsidR="00C576BA">
            <w:rPr>
              <w:rFonts w:ascii="Times New Roman" w:hAnsi="Times New Roman" w:cs="Times New Roman"/>
              <w:sz w:val="24"/>
              <w:szCs w:val="24"/>
            </w:rPr>
            <w:fldChar w:fldCharType="separate"/>
          </w:r>
          <w:r w:rsidR="00C576BA">
            <w:rPr>
              <w:rFonts w:ascii="Times New Roman" w:hAnsi="Times New Roman" w:cs="Times New Roman"/>
              <w:noProof/>
              <w:sz w:val="24"/>
              <w:szCs w:val="24"/>
            </w:rPr>
            <w:t xml:space="preserve"> </w:t>
          </w:r>
          <w:r w:rsidR="00C576BA" w:rsidRPr="00C576BA">
            <w:rPr>
              <w:rFonts w:ascii="Times New Roman" w:hAnsi="Times New Roman" w:cs="Times New Roman"/>
              <w:noProof/>
              <w:sz w:val="24"/>
              <w:szCs w:val="24"/>
            </w:rPr>
            <w:t>(Dalacoura, 2016)</w:t>
          </w:r>
          <w:r w:rsidR="00C576BA">
            <w:rPr>
              <w:rFonts w:ascii="Times New Roman" w:hAnsi="Times New Roman" w:cs="Times New Roman"/>
              <w:sz w:val="24"/>
              <w:szCs w:val="24"/>
            </w:rPr>
            <w:fldChar w:fldCharType="end"/>
          </w:r>
        </w:sdtContent>
      </w:sdt>
      <w:r w:rsidR="00C576BA">
        <w:rPr>
          <w:rFonts w:ascii="Times New Roman" w:hAnsi="Times New Roman" w:cs="Times New Roman"/>
          <w:sz w:val="24"/>
          <w:szCs w:val="24"/>
        </w:rPr>
        <w:t>. This was</w:t>
      </w:r>
      <w:r w:rsidRPr="00421DF1">
        <w:rPr>
          <w:rFonts w:ascii="Times New Roman" w:hAnsi="Times New Roman" w:cs="Times New Roman"/>
          <w:sz w:val="24"/>
          <w:szCs w:val="24"/>
        </w:rPr>
        <w:t xml:space="preserve"> regardless of the vicissitudes that the political system passed through or the type of the ruling elite through its long history.</w:t>
      </w:r>
    </w:p>
    <w:p w:rsidR="00421DF1" w:rsidRPr="00421DF1" w:rsidRDefault="00421DF1" w:rsidP="00421DF1">
      <w:pPr>
        <w:spacing w:line="480" w:lineRule="auto"/>
        <w:ind w:firstLine="720"/>
        <w:rPr>
          <w:rFonts w:ascii="Times New Roman" w:hAnsi="Times New Roman" w:cs="Times New Roman"/>
          <w:sz w:val="24"/>
          <w:szCs w:val="24"/>
        </w:rPr>
      </w:pPr>
      <w:r w:rsidRPr="00421DF1">
        <w:rPr>
          <w:rFonts w:ascii="Times New Roman" w:hAnsi="Times New Roman" w:cs="Times New Roman"/>
          <w:sz w:val="24"/>
          <w:szCs w:val="24"/>
        </w:rPr>
        <w:t>Sudan, on the Southern side, has become disintegrated and is threatening to split into different political entities. The country forms a cluster with Egypt as the river’s mouth comes from outside of their territory. Also, the countries in the Nile Basin are putting a lot of pressure on Egypt to go through the agreements regulating the Nile water allocation among them, since all these countries are in dire need of water. There is also pressure on the increasing Israeli influence that looks to lay siege to Egypt and bribe it for the purpose of getting more concessions and accomplish strategic power in the Middle East conflict.</w:t>
      </w:r>
    </w:p>
    <w:p w:rsidR="00421DF1" w:rsidRPr="00421DF1" w:rsidRDefault="00421DF1" w:rsidP="00421DF1">
      <w:pPr>
        <w:spacing w:line="480" w:lineRule="auto"/>
        <w:ind w:firstLine="720"/>
        <w:rPr>
          <w:rFonts w:ascii="Times New Roman" w:hAnsi="Times New Roman" w:cs="Times New Roman"/>
          <w:sz w:val="24"/>
          <w:szCs w:val="24"/>
        </w:rPr>
      </w:pPr>
      <w:r w:rsidRPr="00421DF1">
        <w:rPr>
          <w:rFonts w:ascii="Times New Roman" w:hAnsi="Times New Roman" w:cs="Times New Roman"/>
          <w:sz w:val="24"/>
          <w:szCs w:val="24"/>
        </w:rPr>
        <w:lastRenderedPageBreak/>
        <w:t>When it comes to the northern part, Egypt is also under pressure. The country is not at peace even after a signing a peace treaty with Israel thirty years ago. The national movement in Palestine has become divided and weakened after the failed initiative by Oslo to come to a just settlement for the issue of the Palestinian. After Israel was forced to pull after the Gaza Strip, the strip is now controlled by a political power that is considered to be antagonistic. The peace treaty between Israel and Egypt did not commit Israel to any good behavior towards other sides to the conflict while establishing neutrality on Egypt. As a consequence, Egypt appears unable to control the interactions in the country, and also seems to be pro-Israel in the face of other Arab parties. If Egypt is not able to take charge of the situation within its critical area, it is evident that it will lose its power within the wider areas of its foreign policy, which is within the Arab spheres, Islamic and African countries</w:t>
      </w:r>
      <w:sdt>
        <w:sdtPr>
          <w:rPr>
            <w:rFonts w:ascii="Times New Roman" w:hAnsi="Times New Roman" w:cs="Times New Roman"/>
            <w:sz w:val="24"/>
            <w:szCs w:val="24"/>
          </w:rPr>
          <w:id w:val="1269198348"/>
          <w:citation/>
        </w:sdtPr>
        <w:sdtContent>
          <w:r w:rsidR="00C576BA">
            <w:rPr>
              <w:rFonts w:ascii="Times New Roman" w:hAnsi="Times New Roman" w:cs="Times New Roman"/>
              <w:sz w:val="24"/>
              <w:szCs w:val="24"/>
            </w:rPr>
            <w:fldChar w:fldCharType="begin"/>
          </w:r>
          <w:r w:rsidR="00C576BA">
            <w:rPr>
              <w:rFonts w:ascii="Times New Roman" w:hAnsi="Times New Roman" w:cs="Times New Roman"/>
              <w:sz w:val="24"/>
              <w:szCs w:val="24"/>
            </w:rPr>
            <w:instrText xml:space="preserve"> CITATION RAH16 \l 1033 </w:instrText>
          </w:r>
          <w:r w:rsidR="00C576BA">
            <w:rPr>
              <w:rFonts w:ascii="Times New Roman" w:hAnsi="Times New Roman" w:cs="Times New Roman"/>
              <w:sz w:val="24"/>
              <w:szCs w:val="24"/>
            </w:rPr>
            <w:fldChar w:fldCharType="separate"/>
          </w:r>
          <w:r w:rsidR="00C576BA">
            <w:rPr>
              <w:rFonts w:ascii="Times New Roman" w:hAnsi="Times New Roman" w:cs="Times New Roman"/>
              <w:noProof/>
              <w:sz w:val="24"/>
              <w:szCs w:val="24"/>
            </w:rPr>
            <w:t xml:space="preserve"> </w:t>
          </w:r>
          <w:r w:rsidR="00C576BA" w:rsidRPr="00C576BA">
            <w:rPr>
              <w:rFonts w:ascii="Times New Roman" w:hAnsi="Times New Roman" w:cs="Times New Roman"/>
              <w:noProof/>
              <w:sz w:val="24"/>
              <w:szCs w:val="24"/>
            </w:rPr>
            <w:t>(Hinnebusch, 2016)</w:t>
          </w:r>
          <w:r w:rsidR="00C576BA">
            <w:rPr>
              <w:rFonts w:ascii="Times New Roman" w:hAnsi="Times New Roman" w:cs="Times New Roman"/>
              <w:sz w:val="24"/>
              <w:szCs w:val="24"/>
            </w:rPr>
            <w:fldChar w:fldCharType="end"/>
          </w:r>
        </w:sdtContent>
      </w:sdt>
      <w:r w:rsidRPr="00421DF1">
        <w:rPr>
          <w:rFonts w:ascii="Times New Roman" w:hAnsi="Times New Roman" w:cs="Times New Roman"/>
          <w:sz w:val="24"/>
          <w:szCs w:val="24"/>
        </w:rPr>
        <w:t>. The ability of Egypt to lead the Arab world alone or with the help of Saudi Arabia and Syria has significantly reduced over the years.</w:t>
      </w:r>
    </w:p>
    <w:p w:rsidR="00421DF1" w:rsidRPr="00421DF1" w:rsidRDefault="00421DF1" w:rsidP="00421DF1">
      <w:pPr>
        <w:spacing w:line="480" w:lineRule="auto"/>
        <w:ind w:firstLine="720"/>
        <w:rPr>
          <w:rFonts w:ascii="Times New Roman" w:hAnsi="Times New Roman" w:cs="Times New Roman"/>
          <w:sz w:val="24"/>
          <w:szCs w:val="24"/>
        </w:rPr>
      </w:pPr>
      <w:r w:rsidRPr="00421DF1">
        <w:rPr>
          <w:rFonts w:ascii="Times New Roman" w:hAnsi="Times New Roman" w:cs="Times New Roman"/>
          <w:sz w:val="24"/>
          <w:szCs w:val="24"/>
        </w:rPr>
        <w:t>The relationship with the European Union is very crucial to Egypt. The partnership has brought positive impacts to the economy, as the removal of duties on inputs from Europe has decreased its cost and has improved the competitiveness of the industries that manufacture products. Moreover, it has led to a reduction in the cost of investment and increase in the accumulation of capital which has brought about gains in productivity.  When it comes to export, the relationship with the EU has secured the advantageous market access given to products from Egypt. The amount of foreign aid given to Egypt has also increased. Moreover, there has been an increase in access to market opportunities.</w:t>
      </w:r>
    </w:p>
    <w:p w:rsidR="00421DF1" w:rsidRPr="00421DF1" w:rsidRDefault="00421DF1" w:rsidP="00421DF1">
      <w:pPr>
        <w:spacing w:line="480" w:lineRule="auto"/>
        <w:ind w:firstLine="720"/>
        <w:rPr>
          <w:rFonts w:ascii="Times New Roman" w:hAnsi="Times New Roman" w:cs="Times New Roman"/>
          <w:sz w:val="24"/>
          <w:szCs w:val="24"/>
        </w:rPr>
      </w:pPr>
      <w:r w:rsidRPr="00421DF1">
        <w:rPr>
          <w:rFonts w:ascii="Times New Roman" w:hAnsi="Times New Roman" w:cs="Times New Roman"/>
          <w:sz w:val="24"/>
          <w:szCs w:val="24"/>
        </w:rPr>
        <w:t xml:space="preserve">Since Egypt partnered with EU, the rate of unemployment has been decreasing over the years. However, the majority of jobs that came up were in the service and industrial sector. Also, Egypt is moving very fast when it comes to economic reforms. In December 2009, the alliance in </w:t>
      </w:r>
      <w:r w:rsidRPr="00421DF1">
        <w:rPr>
          <w:rFonts w:ascii="Times New Roman" w:hAnsi="Times New Roman" w:cs="Times New Roman"/>
          <w:sz w:val="24"/>
          <w:szCs w:val="24"/>
        </w:rPr>
        <w:lastRenderedPageBreak/>
        <w:t>the Middle East was developed from all business associations which has come up with one voice for Euro-med business</w:t>
      </w:r>
      <w:sdt>
        <w:sdtPr>
          <w:rPr>
            <w:rFonts w:ascii="Times New Roman" w:hAnsi="Times New Roman" w:cs="Times New Roman"/>
            <w:sz w:val="24"/>
            <w:szCs w:val="24"/>
          </w:rPr>
          <w:id w:val="727269172"/>
          <w:citation/>
        </w:sdtPr>
        <w:sdtContent>
          <w:r w:rsidR="00C576BA">
            <w:rPr>
              <w:rFonts w:ascii="Times New Roman" w:hAnsi="Times New Roman" w:cs="Times New Roman"/>
              <w:sz w:val="24"/>
              <w:szCs w:val="24"/>
            </w:rPr>
            <w:fldChar w:fldCharType="begin"/>
          </w:r>
          <w:r w:rsidR="00C576BA">
            <w:rPr>
              <w:rFonts w:ascii="Times New Roman" w:hAnsi="Times New Roman" w:cs="Times New Roman"/>
              <w:sz w:val="24"/>
              <w:szCs w:val="24"/>
            </w:rPr>
            <w:instrText xml:space="preserve"> CITATION RAD16 \l 1033 </w:instrText>
          </w:r>
          <w:r w:rsidR="00C576BA">
            <w:rPr>
              <w:rFonts w:ascii="Times New Roman" w:hAnsi="Times New Roman" w:cs="Times New Roman"/>
              <w:sz w:val="24"/>
              <w:szCs w:val="24"/>
            </w:rPr>
            <w:fldChar w:fldCharType="separate"/>
          </w:r>
          <w:r w:rsidR="00C576BA">
            <w:rPr>
              <w:rFonts w:ascii="Times New Roman" w:hAnsi="Times New Roman" w:cs="Times New Roman"/>
              <w:noProof/>
              <w:sz w:val="24"/>
              <w:szCs w:val="24"/>
            </w:rPr>
            <w:t xml:space="preserve"> </w:t>
          </w:r>
          <w:r w:rsidR="00C576BA" w:rsidRPr="00C576BA">
            <w:rPr>
              <w:rFonts w:ascii="Times New Roman" w:hAnsi="Times New Roman" w:cs="Times New Roman"/>
              <w:noProof/>
              <w:sz w:val="24"/>
              <w:szCs w:val="24"/>
            </w:rPr>
            <w:t>(Sarto, 2016)</w:t>
          </w:r>
          <w:r w:rsidR="00C576BA">
            <w:rPr>
              <w:rFonts w:ascii="Times New Roman" w:hAnsi="Times New Roman" w:cs="Times New Roman"/>
              <w:sz w:val="24"/>
              <w:szCs w:val="24"/>
            </w:rPr>
            <w:fldChar w:fldCharType="end"/>
          </w:r>
        </w:sdtContent>
      </w:sdt>
      <w:r w:rsidRPr="00421DF1">
        <w:rPr>
          <w:rFonts w:ascii="Times New Roman" w:hAnsi="Times New Roman" w:cs="Times New Roman"/>
          <w:sz w:val="24"/>
          <w:szCs w:val="24"/>
        </w:rPr>
        <w:t>. The EU uses the instrument of budget support, and it is utilizing it in several areas involving business and infrastructure. It has also given its support to Egypt in many other activities, for example, how to lobby and advocate in Europe and assistance in the industrial sector.</w:t>
      </w:r>
    </w:p>
    <w:p w:rsidR="00421DF1" w:rsidRDefault="00421DF1" w:rsidP="00421DF1">
      <w:pPr>
        <w:spacing w:line="480" w:lineRule="auto"/>
        <w:ind w:firstLine="720"/>
        <w:rPr>
          <w:rFonts w:ascii="Times New Roman" w:hAnsi="Times New Roman" w:cs="Times New Roman"/>
          <w:sz w:val="24"/>
          <w:szCs w:val="24"/>
        </w:rPr>
      </w:pPr>
      <w:r w:rsidRPr="00421DF1">
        <w:rPr>
          <w:rFonts w:ascii="Times New Roman" w:hAnsi="Times New Roman" w:cs="Times New Roman"/>
          <w:sz w:val="24"/>
          <w:szCs w:val="24"/>
        </w:rPr>
        <w:t xml:space="preserve">In summary, the European Union has brought many advantages to Egypt as a country. Trade has doubled ever since Egypt signed an Agreement with the EU. There has been an increase in import and export business which has led to an improvement in the economic sector in Egypt. Also, there has been a creation of employment opportunities which has reduced the rate of unemployment. </w:t>
      </w:r>
    </w:p>
    <w:p w:rsidR="00C576BA" w:rsidRDefault="00C576BA" w:rsidP="00421DF1">
      <w:pPr>
        <w:spacing w:line="480" w:lineRule="auto"/>
        <w:ind w:firstLine="720"/>
        <w:rPr>
          <w:rFonts w:ascii="Times New Roman" w:hAnsi="Times New Roman" w:cs="Times New Roman"/>
          <w:sz w:val="24"/>
          <w:szCs w:val="24"/>
        </w:rPr>
      </w:pPr>
    </w:p>
    <w:p w:rsidR="00C576BA" w:rsidRDefault="00C576BA" w:rsidP="00421DF1">
      <w:pPr>
        <w:spacing w:line="480" w:lineRule="auto"/>
        <w:ind w:firstLine="720"/>
        <w:rPr>
          <w:rFonts w:ascii="Times New Roman" w:hAnsi="Times New Roman" w:cs="Times New Roman"/>
          <w:sz w:val="24"/>
          <w:szCs w:val="24"/>
        </w:rPr>
      </w:pPr>
    </w:p>
    <w:p w:rsidR="00C576BA" w:rsidRDefault="00C576BA" w:rsidP="00421DF1">
      <w:pPr>
        <w:spacing w:line="480" w:lineRule="auto"/>
        <w:ind w:firstLine="720"/>
        <w:rPr>
          <w:rFonts w:ascii="Times New Roman" w:hAnsi="Times New Roman" w:cs="Times New Roman"/>
          <w:sz w:val="24"/>
          <w:szCs w:val="24"/>
        </w:rPr>
      </w:pPr>
    </w:p>
    <w:p w:rsidR="00C576BA" w:rsidRDefault="00C576BA" w:rsidP="00421DF1">
      <w:pPr>
        <w:spacing w:line="480" w:lineRule="auto"/>
        <w:ind w:firstLine="720"/>
        <w:rPr>
          <w:rFonts w:ascii="Times New Roman" w:hAnsi="Times New Roman" w:cs="Times New Roman"/>
          <w:sz w:val="24"/>
          <w:szCs w:val="24"/>
        </w:rPr>
      </w:pPr>
    </w:p>
    <w:p w:rsidR="00C576BA" w:rsidRDefault="00C576BA" w:rsidP="00421DF1">
      <w:pPr>
        <w:spacing w:line="480" w:lineRule="auto"/>
        <w:ind w:firstLine="720"/>
        <w:rPr>
          <w:rFonts w:ascii="Times New Roman" w:hAnsi="Times New Roman" w:cs="Times New Roman"/>
          <w:sz w:val="24"/>
          <w:szCs w:val="24"/>
        </w:rPr>
      </w:pPr>
    </w:p>
    <w:p w:rsidR="00C576BA" w:rsidRDefault="00C576BA" w:rsidP="00421DF1">
      <w:pPr>
        <w:spacing w:line="480" w:lineRule="auto"/>
        <w:ind w:firstLine="720"/>
        <w:rPr>
          <w:rFonts w:ascii="Times New Roman" w:hAnsi="Times New Roman" w:cs="Times New Roman"/>
          <w:sz w:val="24"/>
          <w:szCs w:val="24"/>
        </w:rPr>
      </w:pPr>
    </w:p>
    <w:p w:rsidR="00C576BA" w:rsidRDefault="00C576BA" w:rsidP="00421DF1">
      <w:pPr>
        <w:spacing w:line="480" w:lineRule="auto"/>
        <w:ind w:firstLine="720"/>
        <w:rPr>
          <w:rFonts w:ascii="Times New Roman" w:hAnsi="Times New Roman" w:cs="Times New Roman"/>
          <w:sz w:val="24"/>
          <w:szCs w:val="24"/>
        </w:rPr>
      </w:pPr>
    </w:p>
    <w:p w:rsidR="00C576BA" w:rsidRDefault="00C576BA" w:rsidP="00421DF1">
      <w:pPr>
        <w:spacing w:line="480" w:lineRule="auto"/>
        <w:ind w:firstLine="720"/>
        <w:rPr>
          <w:rFonts w:ascii="Times New Roman" w:hAnsi="Times New Roman" w:cs="Times New Roman"/>
          <w:sz w:val="24"/>
          <w:szCs w:val="24"/>
        </w:rPr>
      </w:pPr>
    </w:p>
    <w:p w:rsidR="00C576BA" w:rsidRDefault="00C576BA" w:rsidP="00421DF1">
      <w:pPr>
        <w:spacing w:line="480" w:lineRule="auto"/>
        <w:ind w:firstLine="720"/>
        <w:rPr>
          <w:rFonts w:ascii="Times New Roman" w:hAnsi="Times New Roman" w:cs="Times New Roman"/>
          <w:sz w:val="24"/>
          <w:szCs w:val="24"/>
        </w:rPr>
      </w:pPr>
    </w:p>
    <w:p w:rsidR="00C576BA" w:rsidRDefault="00C576BA" w:rsidP="00D936E2">
      <w:pPr>
        <w:spacing w:line="480" w:lineRule="auto"/>
        <w:jc w:val="center"/>
        <w:rPr>
          <w:rFonts w:ascii="Times New Roman" w:hAnsi="Times New Roman" w:cs="Times New Roman"/>
          <w:b/>
          <w:sz w:val="24"/>
          <w:szCs w:val="24"/>
        </w:rPr>
      </w:pPr>
      <w:r w:rsidRPr="00C576BA">
        <w:rPr>
          <w:rFonts w:ascii="Times New Roman" w:hAnsi="Times New Roman" w:cs="Times New Roman"/>
          <w:b/>
          <w:sz w:val="24"/>
          <w:szCs w:val="24"/>
        </w:rPr>
        <w:lastRenderedPageBreak/>
        <w:t>References</w:t>
      </w:r>
    </w:p>
    <w:p w:rsidR="0096119A" w:rsidRPr="0096119A" w:rsidRDefault="0096119A" w:rsidP="0096119A">
      <w:pPr>
        <w:pStyle w:val="Bibliography"/>
        <w:spacing w:line="480" w:lineRule="auto"/>
        <w:ind w:left="720" w:hanging="720"/>
        <w:rPr>
          <w:rFonts w:ascii="Times New Roman" w:hAnsi="Times New Roman" w:cs="Times New Roman"/>
          <w:noProof/>
          <w:sz w:val="24"/>
          <w:szCs w:val="24"/>
        </w:rPr>
      </w:pPr>
      <w:r w:rsidRPr="0096119A">
        <w:rPr>
          <w:rFonts w:ascii="Times New Roman" w:hAnsi="Times New Roman" w:cs="Times New Roman"/>
          <w:b/>
          <w:sz w:val="24"/>
          <w:szCs w:val="24"/>
        </w:rPr>
        <w:fldChar w:fldCharType="begin"/>
      </w:r>
      <w:r w:rsidRPr="0096119A">
        <w:rPr>
          <w:rFonts w:ascii="Times New Roman" w:hAnsi="Times New Roman" w:cs="Times New Roman"/>
          <w:b/>
          <w:sz w:val="24"/>
          <w:szCs w:val="24"/>
        </w:rPr>
        <w:instrText xml:space="preserve"> BIBLIOGRAPHY  \l 1033 </w:instrText>
      </w:r>
      <w:r w:rsidRPr="0096119A">
        <w:rPr>
          <w:rFonts w:ascii="Times New Roman" w:hAnsi="Times New Roman" w:cs="Times New Roman"/>
          <w:b/>
          <w:sz w:val="24"/>
          <w:szCs w:val="24"/>
        </w:rPr>
        <w:fldChar w:fldCharType="separate"/>
      </w:r>
      <w:r w:rsidRPr="0096119A">
        <w:rPr>
          <w:rFonts w:ascii="Times New Roman" w:hAnsi="Times New Roman" w:cs="Times New Roman"/>
          <w:noProof/>
          <w:sz w:val="24"/>
          <w:szCs w:val="24"/>
        </w:rPr>
        <w:t xml:space="preserve">Dalacoura, K. (2016). Representing Israel in Modern Egypt: ideas, intellectuals and foreign policy from Nasser to Mubarak. </w:t>
      </w:r>
      <w:r w:rsidRPr="0096119A">
        <w:rPr>
          <w:rFonts w:ascii="Times New Roman" w:hAnsi="Times New Roman" w:cs="Times New Roman"/>
          <w:i/>
          <w:iCs/>
          <w:noProof/>
          <w:sz w:val="24"/>
          <w:szCs w:val="24"/>
        </w:rPr>
        <w:t>Journal of Modern Jewish Studies</w:t>
      </w:r>
      <w:r w:rsidRPr="0096119A">
        <w:rPr>
          <w:rFonts w:ascii="Times New Roman" w:hAnsi="Times New Roman" w:cs="Times New Roman"/>
          <w:noProof/>
          <w:sz w:val="24"/>
          <w:szCs w:val="24"/>
        </w:rPr>
        <w:t>, 166-169.</w:t>
      </w:r>
    </w:p>
    <w:p w:rsidR="0096119A" w:rsidRPr="0096119A" w:rsidRDefault="0096119A" w:rsidP="0096119A">
      <w:pPr>
        <w:pStyle w:val="Bibliography"/>
        <w:spacing w:line="480" w:lineRule="auto"/>
        <w:ind w:left="720" w:hanging="720"/>
        <w:rPr>
          <w:rFonts w:ascii="Times New Roman" w:hAnsi="Times New Roman" w:cs="Times New Roman"/>
          <w:noProof/>
          <w:sz w:val="24"/>
          <w:szCs w:val="24"/>
        </w:rPr>
      </w:pPr>
      <w:r w:rsidRPr="0096119A">
        <w:rPr>
          <w:rFonts w:ascii="Times New Roman" w:hAnsi="Times New Roman" w:cs="Times New Roman"/>
          <w:noProof/>
          <w:sz w:val="24"/>
          <w:szCs w:val="24"/>
        </w:rPr>
        <w:t xml:space="preserve">European Commission. (2016, April 29). </w:t>
      </w:r>
      <w:r w:rsidRPr="0096119A">
        <w:rPr>
          <w:rFonts w:ascii="Times New Roman" w:hAnsi="Times New Roman" w:cs="Times New Roman"/>
          <w:i/>
          <w:iCs/>
          <w:noProof/>
          <w:sz w:val="24"/>
          <w:szCs w:val="24"/>
        </w:rPr>
        <w:t>trade/policy/countries-and-regions/countries/egypt/</w:t>
      </w:r>
      <w:r w:rsidRPr="0096119A">
        <w:rPr>
          <w:rFonts w:ascii="Times New Roman" w:hAnsi="Times New Roman" w:cs="Times New Roman"/>
          <w:noProof/>
          <w:sz w:val="24"/>
          <w:szCs w:val="24"/>
        </w:rPr>
        <w:t>. Retrieved from http://ec.europa.eu: http://ec.europa.eu/trade/policy/countries-and-regions/countries/egypt/</w:t>
      </w:r>
    </w:p>
    <w:p w:rsidR="0096119A" w:rsidRPr="0096119A" w:rsidRDefault="0096119A" w:rsidP="0096119A">
      <w:pPr>
        <w:pStyle w:val="Bibliography"/>
        <w:spacing w:line="480" w:lineRule="auto"/>
        <w:ind w:left="720" w:hanging="720"/>
        <w:rPr>
          <w:rFonts w:ascii="Times New Roman" w:hAnsi="Times New Roman" w:cs="Times New Roman"/>
          <w:noProof/>
          <w:sz w:val="24"/>
          <w:szCs w:val="24"/>
        </w:rPr>
      </w:pPr>
      <w:r w:rsidRPr="0096119A">
        <w:rPr>
          <w:rFonts w:ascii="Times New Roman" w:hAnsi="Times New Roman" w:cs="Times New Roman"/>
          <w:noProof/>
          <w:sz w:val="24"/>
          <w:szCs w:val="24"/>
        </w:rPr>
        <w:t xml:space="preserve">Hinnebusch, R. (2016). 8 Egypt, Syria and the Arab State System in the. </w:t>
      </w:r>
      <w:r w:rsidRPr="0096119A">
        <w:rPr>
          <w:rFonts w:ascii="Times New Roman" w:hAnsi="Times New Roman" w:cs="Times New Roman"/>
          <w:i/>
          <w:iCs/>
          <w:noProof/>
          <w:sz w:val="24"/>
          <w:szCs w:val="24"/>
        </w:rPr>
        <w:t xml:space="preserve">The Middle East in the New World Order </w:t>
      </w:r>
      <w:r w:rsidRPr="0096119A">
        <w:rPr>
          <w:rFonts w:ascii="Times New Roman" w:hAnsi="Times New Roman" w:cs="Times New Roman"/>
          <w:noProof/>
          <w:sz w:val="24"/>
          <w:szCs w:val="24"/>
        </w:rPr>
        <w:t>, 162-165.</w:t>
      </w:r>
    </w:p>
    <w:p w:rsidR="0096119A" w:rsidRPr="0096119A" w:rsidRDefault="0096119A" w:rsidP="0096119A">
      <w:pPr>
        <w:pStyle w:val="Bibliography"/>
        <w:spacing w:line="480" w:lineRule="auto"/>
        <w:ind w:left="720" w:hanging="720"/>
        <w:rPr>
          <w:rFonts w:ascii="Times New Roman" w:hAnsi="Times New Roman" w:cs="Times New Roman"/>
          <w:noProof/>
          <w:sz w:val="24"/>
          <w:szCs w:val="24"/>
        </w:rPr>
      </w:pPr>
      <w:r w:rsidRPr="0096119A">
        <w:rPr>
          <w:rFonts w:ascii="Times New Roman" w:hAnsi="Times New Roman" w:cs="Times New Roman"/>
          <w:noProof/>
          <w:sz w:val="24"/>
          <w:szCs w:val="24"/>
        </w:rPr>
        <w:t xml:space="preserve">Liargovas, P. (2013, January 6). </w:t>
      </w:r>
      <w:r w:rsidRPr="0096119A">
        <w:rPr>
          <w:rFonts w:ascii="Times New Roman" w:hAnsi="Times New Roman" w:cs="Times New Roman"/>
          <w:i/>
          <w:iCs/>
          <w:noProof/>
          <w:sz w:val="24"/>
          <w:szCs w:val="24"/>
        </w:rPr>
        <w:t>searchproject/wp-content/uploads/2013/01/WP-2.1.pdf</w:t>
      </w:r>
      <w:r w:rsidRPr="0096119A">
        <w:rPr>
          <w:rFonts w:ascii="Times New Roman" w:hAnsi="Times New Roman" w:cs="Times New Roman"/>
          <w:noProof/>
          <w:sz w:val="24"/>
          <w:szCs w:val="24"/>
        </w:rPr>
        <w:t>. Retrieved from http://www.ub.edu: http://www.ub.edu/searchproject/wp-content/uploads/2013/01/WP-2.1.pdf</w:t>
      </w:r>
    </w:p>
    <w:p w:rsidR="0096119A" w:rsidRPr="0096119A" w:rsidRDefault="0096119A" w:rsidP="0096119A">
      <w:pPr>
        <w:pStyle w:val="Bibliography"/>
        <w:spacing w:line="480" w:lineRule="auto"/>
        <w:ind w:left="720" w:hanging="720"/>
        <w:rPr>
          <w:rFonts w:ascii="Times New Roman" w:hAnsi="Times New Roman" w:cs="Times New Roman"/>
          <w:noProof/>
          <w:sz w:val="24"/>
          <w:szCs w:val="24"/>
        </w:rPr>
      </w:pPr>
      <w:r w:rsidRPr="0096119A">
        <w:rPr>
          <w:rFonts w:ascii="Times New Roman" w:hAnsi="Times New Roman" w:cs="Times New Roman"/>
          <w:noProof/>
          <w:sz w:val="24"/>
          <w:szCs w:val="24"/>
        </w:rPr>
        <w:t xml:space="preserve">Sarto, R. D. (2016). Normative empire Europe: the European Union, its borderlands, and the 'Arab spring'. </w:t>
      </w:r>
      <w:r w:rsidRPr="0096119A">
        <w:rPr>
          <w:rFonts w:ascii="Times New Roman" w:hAnsi="Times New Roman" w:cs="Times New Roman"/>
          <w:i/>
          <w:iCs/>
          <w:noProof/>
          <w:sz w:val="24"/>
          <w:szCs w:val="24"/>
        </w:rPr>
        <w:t>Journal of Common Market Studies</w:t>
      </w:r>
      <w:r w:rsidRPr="0096119A">
        <w:rPr>
          <w:rFonts w:ascii="Times New Roman" w:hAnsi="Times New Roman" w:cs="Times New Roman"/>
          <w:noProof/>
          <w:sz w:val="24"/>
          <w:szCs w:val="24"/>
        </w:rPr>
        <w:t>, 215-232.</w:t>
      </w:r>
    </w:p>
    <w:p w:rsidR="00C576BA" w:rsidRPr="0096119A" w:rsidRDefault="0096119A" w:rsidP="0096119A">
      <w:pPr>
        <w:spacing w:line="480" w:lineRule="auto"/>
        <w:ind w:firstLine="720"/>
        <w:rPr>
          <w:rFonts w:ascii="Times New Roman" w:hAnsi="Times New Roman" w:cs="Times New Roman"/>
          <w:b/>
          <w:sz w:val="24"/>
          <w:szCs w:val="24"/>
        </w:rPr>
      </w:pPr>
      <w:r w:rsidRPr="0096119A">
        <w:rPr>
          <w:rFonts w:ascii="Times New Roman" w:hAnsi="Times New Roman" w:cs="Times New Roman"/>
          <w:b/>
          <w:sz w:val="24"/>
          <w:szCs w:val="24"/>
        </w:rPr>
        <w:fldChar w:fldCharType="end"/>
      </w:r>
    </w:p>
    <w:p w:rsidR="00421DF1" w:rsidRPr="00421DF1" w:rsidRDefault="00421DF1" w:rsidP="00421DF1">
      <w:pPr>
        <w:spacing w:line="480" w:lineRule="auto"/>
        <w:rPr>
          <w:rFonts w:ascii="Times New Roman" w:hAnsi="Times New Roman" w:cs="Times New Roman"/>
          <w:sz w:val="24"/>
          <w:szCs w:val="24"/>
        </w:rPr>
      </w:pPr>
    </w:p>
    <w:p w:rsidR="00421DF1" w:rsidRPr="00421DF1" w:rsidRDefault="00421DF1" w:rsidP="00421DF1">
      <w:pPr>
        <w:spacing w:line="480" w:lineRule="auto"/>
        <w:rPr>
          <w:rFonts w:ascii="Times New Roman" w:hAnsi="Times New Roman" w:cs="Times New Roman"/>
          <w:sz w:val="24"/>
          <w:szCs w:val="24"/>
        </w:rPr>
      </w:pPr>
      <w:r w:rsidRPr="00421DF1">
        <w:rPr>
          <w:rFonts w:ascii="Times New Roman" w:hAnsi="Times New Roman" w:cs="Times New Roman"/>
          <w:sz w:val="24"/>
          <w:szCs w:val="24"/>
        </w:rPr>
        <w:t xml:space="preserve"> </w:t>
      </w:r>
    </w:p>
    <w:p w:rsidR="00421DF1" w:rsidRPr="00421DF1" w:rsidRDefault="00421DF1" w:rsidP="00421DF1">
      <w:pPr>
        <w:spacing w:line="480" w:lineRule="auto"/>
        <w:rPr>
          <w:rFonts w:ascii="Times New Roman" w:hAnsi="Times New Roman" w:cs="Times New Roman"/>
          <w:sz w:val="24"/>
          <w:szCs w:val="24"/>
        </w:rPr>
      </w:pPr>
    </w:p>
    <w:p w:rsidR="00421DF1" w:rsidRPr="00421DF1" w:rsidRDefault="00421DF1" w:rsidP="00421DF1">
      <w:pPr>
        <w:spacing w:line="480" w:lineRule="auto"/>
        <w:rPr>
          <w:rFonts w:ascii="Times New Roman" w:hAnsi="Times New Roman" w:cs="Times New Roman"/>
          <w:sz w:val="24"/>
          <w:szCs w:val="24"/>
        </w:rPr>
      </w:pPr>
    </w:p>
    <w:p w:rsidR="00B670B0" w:rsidRPr="00B670B0" w:rsidRDefault="00B670B0" w:rsidP="00B670B0">
      <w:pPr>
        <w:jc w:val="center"/>
        <w:rPr>
          <w:rFonts w:ascii="Times New Roman" w:hAnsi="Times New Roman" w:cs="Times New Roman"/>
          <w:b/>
          <w:sz w:val="24"/>
          <w:szCs w:val="24"/>
        </w:rPr>
      </w:pPr>
    </w:p>
    <w:sectPr w:rsidR="00B670B0" w:rsidRPr="00B670B0" w:rsidSect="00D936E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823" w:rsidRDefault="00CA5823" w:rsidP="00D936E2">
      <w:pPr>
        <w:spacing w:after="0" w:line="240" w:lineRule="auto"/>
      </w:pPr>
      <w:r>
        <w:separator/>
      </w:r>
    </w:p>
  </w:endnote>
  <w:endnote w:type="continuationSeparator" w:id="0">
    <w:p w:rsidR="00CA5823" w:rsidRDefault="00CA5823" w:rsidP="00D9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823" w:rsidRDefault="00CA5823" w:rsidP="00D936E2">
      <w:pPr>
        <w:spacing w:after="0" w:line="240" w:lineRule="auto"/>
      </w:pPr>
      <w:r>
        <w:separator/>
      </w:r>
    </w:p>
  </w:footnote>
  <w:footnote w:type="continuationSeparator" w:id="0">
    <w:p w:rsidR="00CA5823" w:rsidRDefault="00CA5823" w:rsidP="00D93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6E2" w:rsidRDefault="00D936E2" w:rsidP="00D936E2">
    <w:pPr>
      <w:pStyle w:val="Header"/>
    </w:pPr>
    <w:r>
      <w:t>EUROPEAN NEIGHBOURHOOD POLICY AND DEVELOPMENT LECTURE</w:t>
    </w:r>
    <w:r>
      <w:tab/>
    </w:r>
    <w:r>
      <w:fldChar w:fldCharType="begin"/>
    </w:r>
    <w:r>
      <w:instrText xml:space="preserve"> PAGE    \* MERGEFORMAT </w:instrText>
    </w:r>
    <w:r>
      <w:fldChar w:fldCharType="separate"/>
    </w:r>
    <w:r w:rsidR="00DD488E">
      <w:rPr>
        <w:noProof/>
      </w:rPr>
      <w:t>5</w:t>
    </w:r>
    <w:r>
      <w:fldChar w:fldCharType="end"/>
    </w:r>
  </w:p>
  <w:p w:rsidR="00D936E2" w:rsidRDefault="00D93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6E2" w:rsidRDefault="00D936E2" w:rsidP="00D936E2">
    <w:pPr>
      <w:pStyle w:val="Header"/>
    </w:pPr>
    <w:r>
      <w:t>Running Head: EUROPEAN NEIGHBOURHOOD POLICY AND DEVELOPMENT LECTURE</w:t>
    </w:r>
    <w:r>
      <w:tab/>
    </w:r>
    <w:r>
      <w:fldChar w:fldCharType="begin"/>
    </w:r>
    <w:r>
      <w:instrText xml:space="preserve"> PAGE  \* Arabic  \* MERGEFORMAT </w:instrText>
    </w:r>
    <w:r>
      <w:fldChar w:fldCharType="separate"/>
    </w:r>
    <w:r w:rsidR="00DC62E4">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B0"/>
    <w:rsid w:val="00114B0B"/>
    <w:rsid w:val="001436E3"/>
    <w:rsid w:val="001E758A"/>
    <w:rsid w:val="00235B60"/>
    <w:rsid w:val="002D07BF"/>
    <w:rsid w:val="00312D6C"/>
    <w:rsid w:val="00421DF1"/>
    <w:rsid w:val="00494E49"/>
    <w:rsid w:val="004974AD"/>
    <w:rsid w:val="00507DD2"/>
    <w:rsid w:val="005812C9"/>
    <w:rsid w:val="006E55EB"/>
    <w:rsid w:val="00717193"/>
    <w:rsid w:val="007D6936"/>
    <w:rsid w:val="007F2D10"/>
    <w:rsid w:val="007F5C78"/>
    <w:rsid w:val="00834A40"/>
    <w:rsid w:val="00896168"/>
    <w:rsid w:val="008D1ACA"/>
    <w:rsid w:val="008D3162"/>
    <w:rsid w:val="009549B9"/>
    <w:rsid w:val="0096119A"/>
    <w:rsid w:val="009F5205"/>
    <w:rsid w:val="00A31A06"/>
    <w:rsid w:val="00A50E65"/>
    <w:rsid w:val="00B10892"/>
    <w:rsid w:val="00B670B0"/>
    <w:rsid w:val="00BD5E59"/>
    <w:rsid w:val="00BF7123"/>
    <w:rsid w:val="00C576BA"/>
    <w:rsid w:val="00C63C99"/>
    <w:rsid w:val="00C8273E"/>
    <w:rsid w:val="00CA5823"/>
    <w:rsid w:val="00D024A3"/>
    <w:rsid w:val="00D936E2"/>
    <w:rsid w:val="00DC62E4"/>
    <w:rsid w:val="00DD488E"/>
    <w:rsid w:val="00E248E5"/>
    <w:rsid w:val="00EC4AFA"/>
    <w:rsid w:val="00F0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DDE6F-F460-4CD3-9769-EE86D1C6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6119A"/>
  </w:style>
  <w:style w:type="paragraph" w:styleId="Header">
    <w:name w:val="header"/>
    <w:basedOn w:val="Normal"/>
    <w:link w:val="HeaderChar"/>
    <w:uiPriority w:val="99"/>
    <w:unhideWhenUsed/>
    <w:rsid w:val="00D93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6E2"/>
  </w:style>
  <w:style w:type="paragraph" w:styleId="Footer">
    <w:name w:val="footer"/>
    <w:basedOn w:val="Normal"/>
    <w:link w:val="FooterChar"/>
    <w:uiPriority w:val="99"/>
    <w:unhideWhenUsed/>
    <w:rsid w:val="00D93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3263">
      <w:bodyDiv w:val="1"/>
      <w:marLeft w:val="0"/>
      <w:marRight w:val="0"/>
      <w:marTop w:val="0"/>
      <w:marBottom w:val="0"/>
      <w:divBdr>
        <w:top w:val="none" w:sz="0" w:space="0" w:color="auto"/>
        <w:left w:val="none" w:sz="0" w:space="0" w:color="auto"/>
        <w:bottom w:val="none" w:sz="0" w:space="0" w:color="auto"/>
        <w:right w:val="none" w:sz="0" w:space="0" w:color="auto"/>
      </w:divBdr>
    </w:div>
    <w:div w:id="103841663">
      <w:bodyDiv w:val="1"/>
      <w:marLeft w:val="0"/>
      <w:marRight w:val="0"/>
      <w:marTop w:val="0"/>
      <w:marBottom w:val="0"/>
      <w:divBdr>
        <w:top w:val="none" w:sz="0" w:space="0" w:color="auto"/>
        <w:left w:val="none" w:sz="0" w:space="0" w:color="auto"/>
        <w:bottom w:val="none" w:sz="0" w:space="0" w:color="auto"/>
        <w:right w:val="none" w:sz="0" w:space="0" w:color="auto"/>
      </w:divBdr>
    </w:div>
    <w:div w:id="111019039">
      <w:bodyDiv w:val="1"/>
      <w:marLeft w:val="0"/>
      <w:marRight w:val="0"/>
      <w:marTop w:val="0"/>
      <w:marBottom w:val="0"/>
      <w:divBdr>
        <w:top w:val="none" w:sz="0" w:space="0" w:color="auto"/>
        <w:left w:val="none" w:sz="0" w:space="0" w:color="auto"/>
        <w:bottom w:val="none" w:sz="0" w:space="0" w:color="auto"/>
        <w:right w:val="none" w:sz="0" w:space="0" w:color="auto"/>
      </w:divBdr>
    </w:div>
    <w:div w:id="249001451">
      <w:bodyDiv w:val="1"/>
      <w:marLeft w:val="0"/>
      <w:marRight w:val="0"/>
      <w:marTop w:val="0"/>
      <w:marBottom w:val="0"/>
      <w:divBdr>
        <w:top w:val="none" w:sz="0" w:space="0" w:color="auto"/>
        <w:left w:val="none" w:sz="0" w:space="0" w:color="auto"/>
        <w:bottom w:val="none" w:sz="0" w:space="0" w:color="auto"/>
        <w:right w:val="none" w:sz="0" w:space="0" w:color="auto"/>
      </w:divBdr>
    </w:div>
    <w:div w:id="284888559">
      <w:bodyDiv w:val="1"/>
      <w:marLeft w:val="0"/>
      <w:marRight w:val="0"/>
      <w:marTop w:val="0"/>
      <w:marBottom w:val="0"/>
      <w:divBdr>
        <w:top w:val="none" w:sz="0" w:space="0" w:color="auto"/>
        <w:left w:val="none" w:sz="0" w:space="0" w:color="auto"/>
        <w:bottom w:val="none" w:sz="0" w:space="0" w:color="auto"/>
        <w:right w:val="none" w:sz="0" w:space="0" w:color="auto"/>
      </w:divBdr>
    </w:div>
    <w:div w:id="568423593">
      <w:bodyDiv w:val="1"/>
      <w:marLeft w:val="0"/>
      <w:marRight w:val="0"/>
      <w:marTop w:val="0"/>
      <w:marBottom w:val="0"/>
      <w:divBdr>
        <w:top w:val="none" w:sz="0" w:space="0" w:color="auto"/>
        <w:left w:val="none" w:sz="0" w:space="0" w:color="auto"/>
        <w:bottom w:val="none" w:sz="0" w:space="0" w:color="auto"/>
        <w:right w:val="none" w:sz="0" w:space="0" w:color="auto"/>
      </w:divBdr>
    </w:div>
    <w:div w:id="785077563">
      <w:bodyDiv w:val="1"/>
      <w:marLeft w:val="0"/>
      <w:marRight w:val="0"/>
      <w:marTop w:val="0"/>
      <w:marBottom w:val="0"/>
      <w:divBdr>
        <w:top w:val="none" w:sz="0" w:space="0" w:color="auto"/>
        <w:left w:val="none" w:sz="0" w:space="0" w:color="auto"/>
        <w:bottom w:val="none" w:sz="0" w:space="0" w:color="auto"/>
        <w:right w:val="none" w:sz="0" w:space="0" w:color="auto"/>
      </w:divBdr>
    </w:div>
    <w:div w:id="1361515948">
      <w:bodyDiv w:val="1"/>
      <w:marLeft w:val="0"/>
      <w:marRight w:val="0"/>
      <w:marTop w:val="0"/>
      <w:marBottom w:val="0"/>
      <w:divBdr>
        <w:top w:val="none" w:sz="0" w:space="0" w:color="auto"/>
        <w:left w:val="none" w:sz="0" w:space="0" w:color="auto"/>
        <w:bottom w:val="none" w:sz="0" w:space="0" w:color="auto"/>
        <w:right w:val="none" w:sz="0" w:space="0" w:color="auto"/>
      </w:divBdr>
    </w:div>
    <w:div w:id="1612662098">
      <w:bodyDiv w:val="1"/>
      <w:marLeft w:val="0"/>
      <w:marRight w:val="0"/>
      <w:marTop w:val="0"/>
      <w:marBottom w:val="0"/>
      <w:divBdr>
        <w:top w:val="none" w:sz="0" w:space="0" w:color="auto"/>
        <w:left w:val="none" w:sz="0" w:space="0" w:color="auto"/>
        <w:bottom w:val="none" w:sz="0" w:space="0" w:color="auto"/>
        <w:right w:val="none" w:sz="0" w:space="0" w:color="auto"/>
      </w:divBdr>
    </w:div>
    <w:div w:id="1730836994">
      <w:bodyDiv w:val="1"/>
      <w:marLeft w:val="0"/>
      <w:marRight w:val="0"/>
      <w:marTop w:val="0"/>
      <w:marBottom w:val="0"/>
      <w:divBdr>
        <w:top w:val="none" w:sz="0" w:space="0" w:color="auto"/>
        <w:left w:val="none" w:sz="0" w:space="0" w:color="auto"/>
        <w:bottom w:val="none" w:sz="0" w:space="0" w:color="auto"/>
        <w:right w:val="none" w:sz="0" w:space="0" w:color="auto"/>
      </w:divBdr>
    </w:div>
    <w:div w:id="1768424612">
      <w:bodyDiv w:val="1"/>
      <w:marLeft w:val="0"/>
      <w:marRight w:val="0"/>
      <w:marTop w:val="0"/>
      <w:marBottom w:val="0"/>
      <w:divBdr>
        <w:top w:val="none" w:sz="0" w:space="0" w:color="auto"/>
        <w:left w:val="none" w:sz="0" w:space="0" w:color="auto"/>
        <w:bottom w:val="none" w:sz="0" w:space="0" w:color="auto"/>
        <w:right w:val="none" w:sz="0" w:space="0" w:color="auto"/>
      </w:divBdr>
    </w:div>
    <w:div w:id="1889562389">
      <w:bodyDiv w:val="1"/>
      <w:marLeft w:val="0"/>
      <w:marRight w:val="0"/>
      <w:marTop w:val="0"/>
      <w:marBottom w:val="0"/>
      <w:divBdr>
        <w:top w:val="none" w:sz="0" w:space="0" w:color="auto"/>
        <w:left w:val="none" w:sz="0" w:space="0" w:color="auto"/>
        <w:bottom w:val="none" w:sz="0" w:space="0" w:color="auto"/>
        <w:right w:val="none" w:sz="0" w:space="0" w:color="auto"/>
      </w:divBdr>
    </w:div>
    <w:div w:id="2049068028">
      <w:bodyDiv w:val="1"/>
      <w:marLeft w:val="0"/>
      <w:marRight w:val="0"/>
      <w:marTop w:val="0"/>
      <w:marBottom w:val="0"/>
      <w:divBdr>
        <w:top w:val="none" w:sz="0" w:space="0" w:color="auto"/>
        <w:left w:val="none" w:sz="0" w:space="0" w:color="auto"/>
        <w:bottom w:val="none" w:sz="0" w:space="0" w:color="auto"/>
        <w:right w:val="none" w:sz="0" w:space="0" w:color="auto"/>
      </w:divBdr>
    </w:div>
    <w:div w:id="21152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E7"/>
    <w:rsid w:val="003C11E7"/>
    <w:rsid w:val="00E6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BFB83D0A6E41019F0B09B299AF1963">
    <w:name w:val="D0BFB83D0A6E41019F0B09B299AF1963"/>
    <w:rsid w:val="003C1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Eur16</b:Tag>
    <b:SourceType>InternetSite</b:SourceType>
    <b:Guid>{D3EAA13A-9346-4641-A8FB-3583E75D0C66}</b:Guid>
    <b:Title>trade/policy/countries-and-regions/countries/egypt/</b:Title>
    <b:Year>2016</b:Year>
    <b:Author>
      <b:Author>
        <b:Corporate>European Commission</b:Corporate>
      </b:Author>
    </b:Author>
    <b:InternetSiteTitle>http://ec.europa.eu</b:InternetSiteTitle>
    <b:Month>April</b:Month>
    <b:Day>29</b:Day>
    <b:URL>http://ec.europa.eu/trade/policy/countries-and-regions/countries/egypt/</b:URL>
    <b:RefOrder>1</b:RefOrder>
  </b:Source>
  <b:Source>
    <b:Tag>Pan13</b:Tag>
    <b:SourceType>InternetSite</b:SourceType>
    <b:Guid>{F4024495-B3ED-4A27-AB79-BC544D84CD94}</b:Guid>
    <b:Author>
      <b:Author>
        <b:NameList>
          <b:Person>
            <b:Last>Liargovas</b:Last>
            <b:First>Panagiotis</b:First>
          </b:Person>
        </b:NameList>
      </b:Author>
    </b:Author>
    <b:Title>searchproject/wp-content/uploads/2013/01/WP-2.1.pdf</b:Title>
    <b:InternetSiteTitle>http://www.ub.edu</b:InternetSiteTitle>
    <b:Year>2013</b:Year>
    <b:Month>January</b:Month>
    <b:Day>6</b:Day>
    <b:URL>http://www.ub.edu/searchproject/wp-content/uploads/2013/01/WP-2.1.pdf</b:URL>
    <b:RefOrder>2</b:RefOrder>
  </b:Source>
  <b:Source>
    <b:Tag>KDa69</b:Tag>
    <b:SourceType>JournalArticle</b:SourceType>
    <b:Guid>{26689081-EFB1-4E5D-BA60-7DA4E2AD6318}</b:Guid>
    <b:Title>Representing Israel in Modern Egypt: ideas, intellectuals and foreign policy from Nasser to Mubarak</b:Title>
    <b:Year>2016</b:Year>
    <b:Author>
      <b:Author>
        <b:NameList>
          <b:Person>
            <b:Last>Dalacoura</b:Last>
            <b:First>K</b:First>
          </b:Person>
        </b:NameList>
      </b:Author>
    </b:Author>
    <b:JournalName>Journal of Modern Jewish Studies</b:JournalName>
    <b:Pages>166-169</b:Pages>
    <b:RefOrder>3</b:RefOrder>
  </b:Source>
  <b:Source>
    <b:Tag>RAH16</b:Tag>
    <b:SourceType>JournalArticle</b:SourceType>
    <b:Guid>{FD4D6CEF-610D-48D0-AFA2-949D1FC07DD6}</b:Guid>
    <b:Author>
      <b:Author>
        <b:NameList>
          <b:Person>
            <b:Last>Hinnebusch</b:Last>
            <b:First>RA</b:First>
          </b:Person>
        </b:NameList>
      </b:Author>
    </b:Author>
    <b:Title>8 Egypt, Syria and the Arab State System in the.</b:Title>
    <b:JournalName>The Middle East in the New World Order </b:JournalName>
    <b:Year>2016</b:Year>
    <b:Pages>162-165</b:Pages>
    <b:RefOrder>4</b:RefOrder>
  </b:Source>
  <b:Source>
    <b:Tag>RAD16</b:Tag>
    <b:SourceType>JournalArticle</b:SourceType>
    <b:Guid>{E0190B5B-00BE-4EAA-8696-3304280AF8D9}</b:Guid>
    <b:Author>
      <b:Author>
        <b:NameList>
          <b:Person>
            <b:Last>Sarto</b:Last>
            <b:First>RA</b:First>
            <b:Middle>Del</b:Middle>
          </b:Person>
        </b:NameList>
      </b:Author>
    </b:Author>
    <b:Title>Normative empire Europe: the European Union, its borderlands, and the 'Arab spring'</b:Title>
    <b:JournalName>Journal of Common Market Studies</b:JournalName>
    <b:Year>2016</b:Year>
    <b:Pages>215-232</b:Pages>
    <b:RefOrder>5</b:RefOrder>
  </b:Source>
</b:Sources>
</file>

<file path=customXml/itemProps1.xml><?xml version="1.0" encoding="utf-8"?>
<ds:datastoreItem xmlns:ds="http://schemas.openxmlformats.org/officeDocument/2006/customXml" ds:itemID="{0DDB7158-961D-468B-9954-D108A6B7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Monje</dc:creator>
  <cp:keywords/>
  <dc:description/>
  <cp:lastModifiedBy>Evelyne Monje</cp:lastModifiedBy>
  <cp:revision>8</cp:revision>
  <dcterms:created xsi:type="dcterms:W3CDTF">2016-11-14T08:31:00Z</dcterms:created>
  <dcterms:modified xsi:type="dcterms:W3CDTF">2016-11-14T15:12:00Z</dcterms:modified>
</cp:coreProperties>
</file>